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5098641"/>
        <w:docPartObj>
          <w:docPartGallery w:val="Cover Pages"/>
          <w:docPartUnique/>
        </w:docPartObj>
      </w:sdtPr>
      <w:sdtContent>
        <w:p w14:paraId="7A3252A8" w14:textId="4267253A" w:rsidR="00566859" w:rsidRPr="001103E9" w:rsidRDefault="00BC2CBE" w:rsidP="0068785B">
          <w:r>
            <w:rPr>
              <w:noProof/>
              <w:lang w:eastAsia="nb-NO"/>
            </w:rPr>
            <w:drawing>
              <wp:anchor distT="0" distB="0" distL="114300" distR="114300" simplePos="0" relativeHeight="251659264" behindDoc="0" locked="0" layoutInCell="1" allowOverlap="1" wp14:anchorId="4E4637D0" wp14:editId="76D815E7">
                <wp:simplePos x="0" y="0"/>
                <wp:positionH relativeFrom="page">
                  <wp:align>left</wp:align>
                </wp:positionH>
                <wp:positionV relativeFrom="page">
                  <wp:posOffset>19050</wp:posOffset>
                </wp:positionV>
                <wp:extent cx="7581599" cy="10724294"/>
                <wp:effectExtent l="0" t="0" r="635" b="127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K_dok_01_forsid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599" cy="10724294"/>
                        </a:xfrm>
                        <a:prstGeom prst="rect">
                          <a:avLst/>
                        </a:prstGeom>
                      </pic:spPr>
                    </pic:pic>
                  </a:graphicData>
                </a:graphic>
                <wp14:sizeRelH relativeFrom="margin">
                  <wp14:pctWidth>0</wp14:pctWidth>
                </wp14:sizeRelH>
                <wp14:sizeRelV relativeFrom="margin">
                  <wp14:pctHeight>0</wp14:pctHeight>
                </wp14:sizeRelV>
              </wp:anchor>
            </w:drawing>
          </w:r>
          <w:r w:rsidR="00CF6FD5">
            <w:rPr>
              <w:noProof/>
              <w:lang w:eastAsia="nb-NO"/>
            </w:rPr>
            <mc:AlternateContent>
              <mc:Choice Requires="wps">
                <w:drawing>
                  <wp:anchor distT="0" distB="0" distL="114300" distR="114300" simplePos="0" relativeHeight="251660288" behindDoc="0" locked="0" layoutInCell="1" allowOverlap="1" wp14:anchorId="5ACD3BF9" wp14:editId="0E829F72">
                    <wp:simplePos x="0" y="0"/>
                    <wp:positionH relativeFrom="column">
                      <wp:posOffset>1299922</wp:posOffset>
                    </wp:positionH>
                    <wp:positionV relativeFrom="paragraph">
                      <wp:posOffset>3233466</wp:posOffset>
                    </wp:positionV>
                    <wp:extent cx="2754352" cy="1750742"/>
                    <wp:effectExtent l="0" t="0" r="0" b="1905"/>
                    <wp:wrapNone/>
                    <wp:docPr id="23" name="Tekstboks 23"/>
                    <wp:cNvGraphicFramePr/>
                    <a:graphic xmlns:a="http://schemas.openxmlformats.org/drawingml/2006/main">
                      <a:graphicData uri="http://schemas.microsoft.com/office/word/2010/wordprocessingShape">
                        <wps:wsp>
                          <wps:cNvSpPr txBox="1"/>
                          <wps:spPr>
                            <a:xfrm>
                              <a:off x="0" y="0"/>
                              <a:ext cx="2754352" cy="1750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C4BE6" w14:textId="08C23D95" w:rsidR="00E540DA" w:rsidRPr="00AB7DB3" w:rsidRDefault="002F62E2" w:rsidP="00E540DA">
                                <w:pPr>
                                  <w:spacing w:after="0"/>
                                  <w:jc w:val="center"/>
                                  <w:rPr>
                                    <w:b/>
                                    <w:bCs/>
                                    <w:sz w:val="32"/>
                                    <w:szCs w:val="32"/>
                                  </w:rPr>
                                </w:pPr>
                                <w:r w:rsidRPr="00AB7DB3">
                                  <w:rPr>
                                    <w:b/>
                                    <w:bCs/>
                                    <w:sz w:val="32"/>
                                    <w:szCs w:val="32"/>
                                  </w:rPr>
                                  <w:t xml:space="preserve">Rutine for behandling av habilitetsspørsmål </w:t>
                                </w:r>
                                <w:r w:rsidR="00AB7DB3" w:rsidRPr="00AB7DB3">
                                  <w:rPr>
                                    <w:b/>
                                    <w:bCs/>
                                    <w:sz w:val="32"/>
                                    <w:szCs w:val="32"/>
                                  </w:rPr>
                                  <w:t>i folkevalgte organer i Ringebu kommune</w:t>
                                </w:r>
                              </w:p>
                              <w:p w14:paraId="4DDCD3B1" w14:textId="65C3A10B" w:rsidR="00CF6FD5" w:rsidRPr="00CF19A2" w:rsidRDefault="00E540DA" w:rsidP="000968E3">
                                <w:pPr>
                                  <w:pStyle w:val="RK-undertittel"/>
                                  <w:rPr>
                                    <w:sz w:val="28"/>
                                    <w:szCs w:val="28"/>
                                  </w:rPr>
                                </w:pPr>
                                <w:r>
                                  <w:br/>
                                </w:r>
                                <w:r w:rsidRPr="00CF19A2">
                                  <w:rPr>
                                    <w:sz w:val="28"/>
                                    <w:szCs w:val="28"/>
                                  </w:rPr>
                                  <w:t xml:space="preserve">Vedtatt k-sak 064/25 </w:t>
                                </w:r>
                                <w:r w:rsidR="000968E3">
                                  <w:rPr>
                                    <w:sz w:val="28"/>
                                    <w:szCs w:val="28"/>
                                  </w:rPr>
                                  <w:br/>
                                </w:r>
                                <w:r w:rsidRPr="00CF19A2">
                                  <w:rPr>
                                    <w:sz w:val="28"/>
                                    <w:szCs w:val="28"/>
                                  </w:rPr>
                                  <w:t>16.09.2025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CD3BF9" id="_x0000_t202" coordsize="21600,21600" o:spt="202" path="m,l,21600r21600,l21600,xe">
                    <v:stroke joinstyle="miter"/>
                    <v:path gradientshapeok="t" o:connecttype="rect"/>
                  </v:shapetype>
                  <v:shape id="Tekstboks 23" o:spid="_x0000_s1026" type="#_x0000_t202" style="position:absolute;margin-left:102.35pt;margin-top:254.6pt;width:216.9pt;height:13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" filled="f" stroked="f" strokeweight=".5pt">
                    <v:textbox>
                      <w:txbxContent>
                        <w:p w14:paraId="32AC4BE6" w14:textId="08C23D95" w:rsidR="00E540DA" w:rsidRPr="00AB7DB3" w:rsidRDefault="002F62E2" w:rsidP="00E540DA">
                          <w:pPr>
                            <w:spacing w:after="0"/>
                            <w:jc w:val="center"/>
                            <w:rPr>
                              <w:b/>
                              <w:bCs/>
                              <w:sz w:val="32"/>
                              <w:szCs w:val="32"/>
                            </w:rPr>
                          </w:pPr>
                          <w:r w:rsidRPr="00AB7DB3">
                            <w:rPr>
                              <w:b/>
                              <w:bCs/>
                              <w:sz w:val="32"/>
                              <w:szCs w:val="32"/>
                            </w:rPr>
                            <w:t xml:space="preserve">Rutine for behandling av habilitetsspørsmål </w:t>
                          </w:r>
                          <w:r w:rsidR="00AB7DB3" w:rsidRPr="00AB7DB3">
                            <w:rPr>
                              <w:b/>
                              <w:bCs/>
                              <w:sz w:val="32"/>
                              <w:szCs w:val="32"/>
                            </w:rPr>
                            <w:t>i folkevalgte organer i Ringebu kommune</w:t>
                          </w:r>
                        </w:p>
                        <w:p w14:paraId="4DDCD3B1" w14:textId="65C3A10B" w:rsidR="00CF6FD5" w:rsidRPr="00CF19A2" w:rsidRDefault="00E540DA" w:rsidP="000968E3">
                          <w:pPr>
                            <w:pStyle w:val="RK-undertittel"/>
                            <w:rPr>
                              <w:sz w:val="28"/>
                              <w:szCs w:val="28"/>
                            </w:rPr>
                          </w:pPr>
                          <w:r>
                            <w:br/>
                          </w:r>
                          <w:r w:rsidRPr="00CF19A2">
                            <w:rPr>
                              <w:sz w:val="28"/>
                              <w:szCs w:val="28"/>
                            </w:rPr>
                            <w:t xml:space="preserve">Vedtatt k-sak 064/25 </w:t>
                          </w:r>
                          <w:r w:rsidR="000968E3">
                            <w:rPr>
                              <w:sz w:val="28"/>
                              <w:szCs w:val="28"/>
                            </w:rPr>
                            <w:br/>
                          </w:r>
                          <w:r w:rsidRPr="00CF19A2">
                            <w:rPr>
                              <w:sz w:val="28"/>
                              <w:szCs w:val="28"/>
                            </w:rPr>
                            <w:t>16.09.2025</w:t>
                          </w:r>
                        </w:p>
                      </w:txbxContent>
                    </v:textbox>
                  </v:shape>
                </w:pict>
              </mc:Fallback>
            </mc:AlternateContent>
          </w:r>
          <w:r w:rsidR="0073540E">
            <w:br w:type="page"/>
          </w:r>
        </w:p>
      </w:sdtContent>
    </w:sdt>
    <w:p w14:paraId="08A9F692"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lastRenderedPageBreak/>
        <w:t>A Innledning</w:t>
      </w:r>
    </w:p>
    <w:p w14:paraId="7B65016C" w14:textId="77777777" w:rsidR="001103E9" w:rsidRPr="00814EF8" w:rsidRDefault="001103E9" w:rsidP="001103E9">
      <w:pPr>
        <w:ind w:left="142"/>
        <w:rPr>
          <w:rFonts w:ascii="Calibri" w:hAnsi="Calibri" w:cs="Calibri"/>
          <w:sz w:val="24"/>
          <w:szCs w:val="24"/>
        </w:rPr>
      </w:pPr>
      <w:r w:rsidRPr="00814EF8">
        <w:rPr>
          <w:rFonts w:ascii="Calibri" w:hAnsi="Calibri" w:cs="Calibri"/>
          <w:sz w:val="24"/>
          <w:szCs w:val="24"/>
        </w:rPr>
        <w:t xml:space="preserve">Reglene om når inhabilitet inntreffer i kommunale organer, finner vi i forvaltningsloven og kommuneloven. Disse bestemmelsene blir presentert i avsnitt B nedenfor. Lovtekster er satt i kursiv. </w:t>
      </w:r>
    </w:p>
    <w:p w14:paraId="6CF489E3" w14:textId="77777777" w:rsidR="001103E9" w:rsidRPr="00814EF8" w:rsidRDefault="001103E9" w:rsidP="001103E9">
      <w:pPr>
        <w:ind w:left="142"/>
        <w:rPr>
          <w:rFonts w:ascii="Calibri" w:hAnsi="Calibri" w:cs="Calibri"/>
          <w:sz w:val="24"/>
          <w:szCs w:val="24"/>
        </w:rPr>
      </w:pPr>
      <w:r w:rsidRPr="00814EF8">
        <w:rPr>
          <w:rFonts w:ascii="Calibri" w:hAnsi="Calibri" w:cs="Calibri"/>
          <w:sz w:val="24"/>
          <w:szCs w:val="24"/>
        </w:rPr>
        <w:t>Rutinebeskrivelsen vedtas av kommunestyret og gjelder for folkevalgte i Ringebu kommune. For ansatte i Ringebu kommune gjelder de lovbestemmelsene som er nevnt i forrige avsnitt. Kommunedirektøren er ansvarlig for at bestemmelsene for ansatte blir etterlevd.</w:t>
      </w:r>
    </w:p>
    <w:p w14:paraId="7C5ABAD4" w14:textId="77777777" w:rsidR="001103E9" w:rsidRPr="00814EF8" w:rsidRDefault="001103E9" w:rsidP="001103E9">
      <w:pPr>
        <w:ind w:left="142"/>
        <w:rPr>
          <w:rFonts w:ascii="Calibri" w:hAnsi="Calibri" w:cs="Calibri"/>
          <w:sz w:val="24"/>
          <w:szCs w:val="24"/>
        </w:rPr>
      </w:pPr>
      <w:r w:rsidRPr="00814EF8">
        <w:rPr>
          <w:rFonts w:ascii="Calibri" w:hAnsi="Calibri" w:cs="Calibri"/>
          <w:sz w:val="24"/>
          <w:szCs w:val="24"/>
        </w:rPr>
        <w:t>Hvem som er folkevalgt, framgår av kommuneloven §§ 5-1 og 5-2. I Ringebu er det medlemmene av kommunestyret, formannskapet, kontrollutvalget, levekårsutvalget, utvalget for miljø, utmark og landbruk, utvalg for plan og teknisk og medvirknings-organene. Denne rutinebeskrivelsen omfatter disse organene.</w:t>
      </w:r>
    </w:p>
    <w:p w14:paraId="3FBE507A" w14:textId="77777777" w:rsidR="001103E9" w:rsidRPr="00814EF8" w:rsidRDefault="001103E9" w:rsidP="001103E9">
      <w:pPr>
        <w:ind w:left="142"/>
        <w:rPr>
          <w:rFonts w:ascii="Calibri" w:hAnsi="Calibri" w:cs="Calibri"/>
          <w:sz w:val="24"/>
          <w:szCs w:val="24"/>
        </w:rPr>
      </w:pPr>
      <w:r w:rsidRPr="00814EF8">
        <w:rPr>
          <w:rFonts w:ascii="Calibri" w:hAnsi="Calibri" w:cs="Calibri"/>
          <w:sz w:val="24"/>
          <w:szCs w:val="24"/>
        </w:rPr>
        <w:t xml:space="preserve">For utvalg som er opprettet i </w:t>
      </w:r>
      <w:proofErr w:type="gramStart"/>
      <w:r w:rsidRPr="00814EF8">
        <w:rPr>
          <w:rFonts w:ascii="Calibri" w:hAnsi="Calibri" w:cs="Calibri"/>
          <w:sz w:val="24"/>
          <w:szCs w:val="24"/>
        </w:rPr>
        <w:t>medhold av</w:t>
      </w:r>
      <w:proofErr w:type="gramEnd"/>
      <w:r w:rsidRPr="00814EF8">
        <w:rPr>
          <w:rFonts w:ascii="Calibri" w:hAnsi="Calibri" w:cs="Calibri"/>
          <w:sz w:val="24"/>
          <w:szCs w:val="24"/>
        </w:rPr>
        <w:t xml:space="preserve"> særlover, gjelder forvaltningslovens regler med eventuelle særlovbestemmelser om inhabilitet og saksbehandling.</w:t>
      </w:r>
    </w:p>
    <w:p w14:paraId="03221CBC"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B Inhabilitetsgrunner</w:t>
      </w:r>
    </w:p>
    <w:p w14:paraId="4EB5058E" w14:textId="77777777" w:rsidR="001103E9" w:rsidRPr="00814EF8" w:rsidRDefault="001103E9" w:rsidP="001103E9">
      <w:pPr>
        <w:numPr>
          <w:ilvl w:val="0"/>
          <w:numId w:val="12"/>
        </w:numPr>
        <w:spacing w:after="120" w:line="259" w:lineRule="auto"/>
        <w:rPr>
          <w:rFonts w:ascii="Calibri" w:hAnsi="Calibri" w:cs="Calibri"/>
          <w:sz w:val="24"/>
          <w:szCs w:val="24"/>
          <w:u w:val="single"/>
        </w:rPr>
      </w:pPr>
      <w:r w:rsidRPr="00814EF8">
        <w:rPr>
          <w:rFonts w:ascii="Calibri" w:hAnsi="Calibri" w:cs="Calibri"/>
          <w:sz w:val="24"/>
          <w:szCs w:val="24"/>
          <w:u w:val="single"/>
        </w:rPr>
        <w:t>Forhold som automatisk fører til inhabilitet – forvaltningsloven § 6, første ledd:</w:t>
      </w:r>
    </w:p>
    <w:p w14:paraId="11A2E757" w14:textId="77777777" w:rsidR="001103E9" w:rsidRPr="00814EF8" w:rsidRDefault="001103E9" w:rsidP="001103E9">
      <w:pPr>
        <w:shd w:val="clear" w:color="auto" w:fill="FFFFFF"/>
        <w:spacing w:after="0" w:line="240" w:lineRule="auto"/>
        <w:ind w:firstLine="490"/>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En offentlig tjenestemann er ugild til å tilrettelegge grunnlaget for en avgjørelse </w:t>
      </w:r>
    </w:p>
    <w:p w14:paraId="3191BB6A" w14:textId="77777777" w:rsidR="001103E9" w:rsidRPr="00814EF8" w:rsidRDefault="001103E9" w:rsidP="001103E9">
      <w:pPr>
        <w:shd w:val="clear" w:color="auto" w:fill="FFFFFF"/>
        <w:spacing w:after="0" w:line="240" w:lineRule="auto"/>
        <w:ind w:firstLine="490"/>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eller til å treffe avgjørelse i en forvaltningssak</w:t>
      </w: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671"/>
        <w:gridCol w:w="12746"/>
      </w:tblGrid>
      <w:tr w:rsidR="001103E9" w:rsidRPr="00814EF8" w14:paraId="718DC052" w14:textId="77777777" w:rsidTr="00DE0A32">
        <w:tc>
          <w:tcPr>
            <w:tcW w:w="671" w:type="dxa"/>
            <w:shd w:val="clear" w:color="auto" w:fill="FFFFFF"/>
            <w:noWrap/>
            <w:tcMar>
              <w:top w:w="0" w:type="dxa"/>
              <w:left w:w="30" w:type="dxa"/>
              <w:bottom w:w="0" w:type="dxa"/>
              <w:right w:w="30" w:type="dxa"/>
            </w:tcMar>
            <w:hideMark/>
          </w:tcPr>
          <w:p w14:paraId="3ECF9DEF"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a.</w:t>
            </w:r>
          </w:p>
        </w:tc>
        <w:tc>
          <w:tcPr>
            <w:tcW w:w="12746" w:type="dxa"/>
            <w:shd w:val="clear" w:color="auto" w:fill="FFFFFF"/>
            <w:tcMar>
              <w:top w:w="0" w:type="dxa"/>
              <w:left w:w="30" w:type="dxa"/>
              <w:bottom w:w="0" w:type="dxa"/>
              <w:right w:w="30" w:type="dxa"/>
            </w:tcMar>
            <w:hideMark/>
          </w:tcPr>
          <w:p w14:paraId="3DEABE27"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når han selv er part i saken;</w:t>
            </w:r>
          </w:p>
        </w:tc>
      </w:tr>
    </w:tbl>
    <w:p w14:paraId="6618080B" w14:textId="77777777" w:rsidR="001103E9" w:rsidRPr="00814EF8" w:rsidRDefault="001103E9" w:rsidP="001103E9">
      <w:pPr>
        <w:spacing w:after="0" w:line="240" w:lineRule="auto"/>
        <w:rPr>
          <w:rFonts w:ascii="Calibri" w:eastAsia="Times New Roman" w:hAnsi="Calibri" w:cs="Calibri"/>
          <w:i/>
          <w:iCs/>
          <w:vanish/>
          <w:sz w:val="24"/>
          <w:szCs w:val="24"/>
          <w:lang w:eastAsia="nb-NO"/>
        </w:rPr>
      </w:pP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671"/>
        <w:gridCol w:w="12746"/>
      </w:tblGrid>
      <w:tr w:rsidR="001103E9" w:rsidRPr="00814EF8" w14:paraId="0BB019C1" w14:textId="77777777" w:rsidTr="00DE0A32">
        <w:tc>
          <w:tcPr>
            <w:tcW w:w="671" w:type="dxa"/>
            <w:shd w:val="clear" w:color="auto" w:fill="FFFFFF"/>
            <w:noWrap/>
            <w:tcMar>
              <w:top w:w="0" w:type="dxa"/>
              <w:left w:w="30" w:type="dxa"/>
              <w:bottom w:w="0" w:type="dxa"/>
              <w:right w:w="30" w:type="dxa"/>
            </w:tcMar>
            <w:hideMark/>
          </w:tcPr>
          <w:p w14:paraId="42F96A62"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b.</w:t>
            </w:r>
          </w:p>
        </w:tc>
        <w:tc>
          <w:tcPr>
            <w:tcW w:w="12746" w:type="dxa"/>
            <w:shd w:val="clear" w:color="auto" w:fill="FFFFFF"/>
            <w:tcMar>
              <w:top w:w="0" w:type="dxa"/>
              <w:left w:w="30" w:type="dxa"/>
              <w:bottom w:w="0" w:type="dxa"/>
              <w:right w:w="30" w:type="dxa"/>
            </w:tcMar>
            <w:hideMark/>
          </w:tcPr>
          <w:p w14:paraId="75730A04"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når han er i slekt eller svogerskap med en part i opp- eller nedstigende linje eller </w:t>
            </w:r>
          </w:p>
          <w:p w14:paraId="5954222E"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i sidelinje så nær som søsken;</w:t>
            </w:r>
          </w:p>
        </w:tc>
      </w:tr>
    </w:tbl>
    <w:p w14:paraId="7DD8A8D2" w14:textId="77777777" w:rsidR="001103E9" w:rsidRPr="00814EF8" w:rsidRDefault="001103E9" w:rsidP="001103E9">
      <w:pPr>
        <w:spacing w:after="0" w:line="240" w:lineRule="auto"/>
        <w:rPr>
          <w:rFonts w:ascii="Calibri" w:eastAsia="Times New Roman" w:hAnsi="Calibri" w:cs="Calibri"/>
          <w:i/>
          <w:iCs/>
          <w:vanish/>
          <w:sz w:val="24"/>
          <w:szCs w:val="24"/>
          <w:lang w:eastAsia="nb-NO"/>
        </w:rPr>
      </w:pP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671"/>
        <w:gridCol w:w="12746"/>
      </w:tblGrid>
      <w:tr w:rsidR="001103E9" w:rsidRPr="00814EF8" w14:paraId="72EDB3CD" w14:textId="77777777" w:rsidTr="00DE0A32">
        <w:tc>
          <w:tcPr>
            <w:tcW w:w="671" w:type="dxa"/>
            <w:shd w:val="clear" w:color="auto" w:fill="FFFFFF"/>
            <w:noWrap/>
            <w:tcMar>
              <w:top w:w="0" w:type="dxa"/>
              <w:left w:w="30" w:type="dxa"/>
              <w:bottom w:w="0" w:type="dxa"/>
              <w:right w:w="30" w:type="dxa"/>
            </w:tcMar>
            <w:hideMark/>
          </w:tcPr>
          <w:p w14:paraId="7BD18AD4"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c.</w:t>
            </w:r>
          </w:p>
        </w:tc>
        <w:tc>
          <w:tcPr>
            <w:tcW w:w="12746" w:type="dxa"/>
            <w:shd w:val="clear" w:color="auto" w:fill="FFFFFF"/>
            <w:tcMar>
              <w:top w:w="0" w:type="dxa"/>
              <w:left w:w="30" w:type="dxa"/>
              <w:bottom w:w="0" w:type="dxa"/>
              <w:right w:w="30" w:type="dxa"/>
            </w:tcMar>
            <w:hideMark/>
          </w:tcPr>
          <w:p w14:paraId="30C7E1AD"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når han er eller har vært gift med eller er forlovet med eller er fosterfar, </w:t>
            </w:r>
          </w:p>
          <w:p w14:paraId="7F296AA8"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fostermor eller fosterbarn til en part;</w:t>
            </w:r>
          </w:p>
        </w:tc>
      </w:tr>
    </w:tbl>
    <w:p w14:paraId="2417BA95" w14:textId="77777777" w:rsidR="001103E9" w:rsidRPr="00814EF8" w:rsidRDefault="001103E9" w:rsidP="001103E9">
      <w:pPr>
        <w:spacing w:after="0" w:line="240" w:lineRule="auto"/>
        <w:rPr>
          <w:rFonts w:ascii="Calibri" w:eastAsia="Times New Roman" w:hAnsi="Calibri" w:cs="Calibri"/>
          <w:i/>
          <w:iCs/>
          <w:vanish/>
          <w:sz w:val="24"/>
          <w:szCs w:val="24"/>
          <w:lang w:eastAsia="nb-NO"/>
        </w:rPr>
      </w:pP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671"/>
        <w:gridCol w:w="12746"/>
      </w:tblGrid>
      <w:tr w:rsidR="001103E9" w:rsidRPr="00814EF8" w14:paraId="6A89810B" w14:textId="77777777" w:rsidTr="00DE0A32">
        <w:tc>
          <w:tcPr>
            <w:tcW w:w="671" w:type="dxa"/>
            <w:shd w:val="clear" w:color="auto" w:fill="FFFFFF"/>
            <w:noWrap/>
            <w:tcMar>
              <w:top w:w="0" w:type="dxa"/>
              <w:left w:w="30" w:type="dxa"/>
              <w:bottom w:w="0" w:type="dxa"/>
              <w:right w:w="30" w:type="dxa"/>
            </w:tcMar>
            <w:hideMark/>
          </w:tcPr>
          <w:p w14:paraId="3D5DAA64"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d.</w:t>
            </w:r>
          </w:p>
        </w:tc>
        <w:tc>
          <w:tcPr>
            <w:tcW w:w="12746" w:type="dxa"/>
            <w:shd w:val="clear" w:color="auto" w:fill="FFFFFF"/>
            <w:tcMar>
              <w:top w:w="0" w:type="dxa"/>
              <w:left w:w="30" w:type="dxa"/>
              <w:bottom w:w="0" w:type="dxa"/>
              <w:right w:w="30" w:type="dxa"/>
            </w:tcMar>
            <w:hideMark/>
          </w:tcPr>
          <w:p w14:paraId="4D5E8403"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når han er verge eller fullmektig for en part i saken eller har vært verge </w:t>
            </w:r>
          </w:p>
          <w:p w14:paraId="3DFB3E15"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eller fullmektig for en part etter at saken begynte;</w:t>
            </w:r>
          </w:p>
        </w:tc>
      </w:tr>
    </w:tbl>
    <w:p w14:paraId="382885E6" w14:textId="77777777" w:rsidR="001103E9" w:rsidRPr="00814EF8" w:rsidRDefault="001103E9" w:rsidP="001103E9">
      <w:pPr>
        <w:spacing w:after="0" w:line="240" w:lineRule="auto"/>
        <w:rPr>
          <w:rFonts w:ascii="Calibri" w:eastAsia="Times New Roman" w:hAnsi="Calibri" w:cs="Calibri"/>
          <w:i/>
          <w:iCs/>
          <w:vanish/>
          <w:sz w:val="24"/>
          <w:szCs w:val="24"/>
          <w:lang w:eastAsia="nb-NO"/>
        </w:rPr>
      </w:pP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671"/>
        <w:gridCol w:w="12746"/>
      </w:tblGrid>
      <w:tr w:rsidR="001103E9" w:rsidRPr="00814EF8" w14:paraId="7CAF399D" w14:textId="77777777" w:rsidTr="00DE0A32">
        <w:tc>
          <w:tcPr>
            <w:tcW w:w="671" w:type="dxa"/>
            <w:shd w:val="clear" w:color="auto" w:fill="FFFFFF"/>
            <w:noWrap/>
            <w:tcMar>
              <w:top w:w="0" w:type="dxa"/>
              <w:left w:w="30" w:type="dxa"/>
              <w:bottom w:w="0" w:type="dxa"/>
              <w:right w:w="30" w:type="dxa"/>
            </w:tcMar>
            <w:hideMark/>
          </w:tcPr>
          <w:p w14:paraId="05A5888C"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e.</w:t>
            </w:r>
          </w:p>
        </w:tc>
        <w:tc>
          <w:tcPr>
            <w:tcW w:w="12746" w:type="dxa"/>
            <w:shd w:val="clear" w:color="auto" w:fill="FFFFFF"/>
            <w:tcMar>
              <w:top w:w="0" w:type="dxa"/>
              <w:left w:w="30" w:type="dxa"/>
              <w:bottom w:w="0" w:type="dxa"/>
              <w:right w:w="30" w:type="dxa"/>
            </w:tcMar>
            <w:hideMark/>
          </w:tcPr>
          <w:p w14:paraId="3A741AFB"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når han leder eller har ledende stilling i, eller er medlem av styret eller </w:t>
            </w:r>
          </w:p>
          <w:p w14:paraId="133BEAE6"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bedriftsforsamling for</w:t>
            </w:r>
          </w:p>
        </w:tc>
      </w:tr>
    </w:tbl>
    <w:p w14:paraId="694247D9" w14:textId="77777777" w:rsidR="001103E9" w:rsidRPr="00814EF8" w:rsidRDefault="001103E9" w:rsidP="001103E9">
      <w:pPr>
        <w:spacing w:after="0" w:line="240" w:lineRule="auto"/>
        <w:rPr>
          <w:rFonts w:ascii="Calibri" w:eastAsia="Times New Roman" w:hAnsi="Calibri" w:cs="Calibri"/>
          <w:i/>
          <w:iCs/>
          <w:vanish/>
          <w:sz w:val="24"/>
          <w:szCs w:val="24"/>
          <w:lang w:eastAsia="nb-NO"/>
        </w:rPr>
      </w:pP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1342"/>
        <w:gridCol w:w="12075"/>
      </w:tblGrid>
      <w:tr w:rsidR="001103E9" w:rsidRPr="00814EF8" w14:paraId="1DBF0E1A" w14:textId="77777777" w:rsidTr="00DE0A32">
        <w:tc>
          <w:tcPr>
            <w:tcW w:w="1342" w:type="dxa"/>
            <w:shd w:val="clear" w:color="auto" w:fill="FFFFFF"/>
            <w:noWrap/>
            <w:tcMar>
              <w:top w:w="0" w:type="dxa"/>
              <w:left w:w="30" w:type="dxa"/>
              <w:bottom w:w="0" w:type="dxa"/>
              <w:right w:w="30" w:type="dxa"/>
            </w:tcMar>
            <w:hideMark/>
          </w:tcPr>
          <w:p w14:paraId="2ECB4DF0"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1.</w:t>
            </w:r>
          </w:p>
        </w:tc>
        <w:tc>
          <w:tcPr>
            <w:tcW w:w="12076" w:type="dxa"/>
            <w:shd w:val="clear" w:color="auto" w:fill="FFFFFF"/>
            <w:tcMar>
              <w:top w:w="0" w:type="dxa"/>
              <w:left w:w="30" w:type="dxa"/>
              <w:bottom w:w="0" w:type="dxa"/>
              <w:right w:w="30" w:type="dxa"/>
            </w:tcMar>
            <w:hideMark/>
          </w:tcPr>
          <w:p w14:paraId="4879BE90"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et samvirkeforetak, eller en forening, sparebank eller stiftelse som er part</w:t>
            </w:r>
          </w:p>
          <w:p w14:paraId="01907401"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 i saken, eller</w:t>
            </w:r>
          </w:p>
        </w:tc>
      </w:tr>
    </w:tbl>
    <w:p w14:paraId="458CB6B7" w14:textId="77777777" w:rsidR="001103E9" w:rsidRPr="00814EF8" w:rsidRDefault="001103E9" w:rsidP="001103E9">
      <w:pPr>
        <w:spacing w:after="0" w:line="240" w:lineRule="auto"/>
        <w:rPr>
          <w:rFonts w:ascii="Calibri" w:eastAsia="Times New Roman" w:hAnsi="Calibri" w:cs="Calibri"/>
          <w:i/>
          <w:iCs/>
          <w:vanish/>
          <w:sz w:val="24"/>
          <w:szCs w:val="24"/>
          <w:lang w:eastAsia="nb-NO"/>
        </w:rPr>
      </w:pPr>
    </w:p>
    <w:tbl>
      <w:tblPr>
        <w:tblW w:w="13417" w:type="dxa"/>
        <w:shd w:val="clear" w:color="auto" w:fill="FFFFFF"/>
        <w:tblCellMar>
          <w:top w:w="15" w:type="dxa"/>
          <w:left w:w="15" w:type="dxa"/>
          <w:bottom w:w="15" w:type="dxa"/>
          <w:right w:w="15" w:type="dxa"/>
        </w:tblCellMar>
        <w:tblLook w:val="04A0" w:firstRow="1" w:lastRow="0" w:firstColumn="1" w:lastColumn="0" w:noHBand="0" w:noVBand="1"/>
      </w:tblPr>
      <w:tblGrid>
        <w:gridCol w:w="1342"/>
        <w:gridCol w:w="12075"/>
      </w:tblGrid>
      <w:tr w:rsidR="001103E9" w:rsidRPr="00814EF8" w14:paraId="1BBA9FD0" w14:textId="77777777" w:rsidTr="00DE0A32">
        <w:tc>
          <w:tcPr>
            <w:tcW w:w="1342" w:type="dxa"/>
            <w:shd w:val="clear" w:color="auto" w:fill="FFFFFF"/>
            <w:noWrap/>
            <w:tcMar>
              <w:top w:w="0" w:type="dxa"/>
              <w:left w:w="30" w:type="dxa"/>
              <w:bottom w:w="0" w:type="dxa"/>
              <w:right w:w="30" w:type="dxa"/>
            </w:tcMar>
            <w:hideMark/>
          </w:tcPr>
          <w:p w14:paraId="424A6375" w14:textId="77777777" w:rsidR="001103E9" w:rsidRPr="00814EF8" w:rsidRDefault="001103E9" w:rsidP="00DE0A32">
            <w:pPr>
              <w:spacing w:after="0" w:line="240" w:lineRule="auto"/>
              <w:jc w:val="right"/>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2.</w:t>
            </w:r>
          </w:p>
        </w:tc>
        <w:tc>
          <w:tcPr>
            <w:tcW w:w="12076" w:type="dxa"/>
            <w:shd w:val="clear" w:color="auto" w:fill="FFFFFF"/>
            <w:tcMar>
              <w:top w:w="0" w:type="dxa"/>
              <w:left w:w="30" w:type="dxa"/>
              <w:bottom w:w="0" w:type="dxa"/>
              <w:right w:w="30" w:type="dxa"/>
            </w:tcMar>
            <w:hideMark/>
          </w:tcPr>
          <w:p w14:paraId="3AD660E9"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et selskap som er part i saken. Dette gjelder likevel ikke for person som </w:t>
            </w:r>
          </w:p>
          <w:p w14:paraId="4D50A994"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utfører tjeneste eller arbeid for et selskap som er fullt ut offentlig eid og </w:t>
            </w:r>
          </w:p>
          <w:p w14:paraId="2A8671ED"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 xml:space="preserve">dette selskapet, alene eller sammen med andre tilsvarende selskaper </w:t>
            </w:r>
          </w:p>
          <w:p w14:paraId="02CD5ECD" w14:textId="77777777" w:rsidR="001103E9" w:rsidRPr="00814EF8" w:rsidRDefault="001103E9" w:rsidP="00DE0A32">
            <w:pPr>
              <w:spacing w:after="0" w:line="240" w:lineRule="auto"/>
              <w:rPr>
                <w:rFonts w:ascii="Calibri" w:eastAsia="Times New Roman" w:hAnsi="Calibri" w:cs="Calibri"/>
                <w:i/>
                <w:iCs/>
                <w:color w:val="333333"/>
                <w:sz w:val="24"/>
                <w:szCs w:val="24"/>
                <w:lang w:eastAsia="nb-NO"/>
              </w:rPr>
            </w:pPr>
            <w:r w:rsidRPr="00814EF8">
              <w:rPr>
                <w:rFonts w:ascii="Calibri" w:eastAsia="Times New Roman" w:hAnsi="Calibri" w:cs="Calibri"/>
                <w:i/>
                <w:iCs/>
                <w:color w:val="333333"/>
                <w:sz w:val="24"/>
                <w:szCs w:val="24"/>
                <w:lang w:eastAsia="nb-NO"/>
              </w:rPr>
              <w:t>eller det offentlige, fullt ut eier selskapet som er part i saken.</w:t>
            </w:r>
          </w:p>
        </w:tc>
      </w:tr>
    </w:tbl>
    <w:p w14:paraId="6191B106" w14:textId="77777777" w:rsidR="001103E9" w:rsidRPr="00814EF8" w:rsidRDefault="001103E9" w:rsidP="001103E9">
      <w:pPr>
        <w:ind w:left="360"/>
        <w:rPr>
          <w:rFonts w:ascii="Calibri" w:hAnsi="Calibri" w:cs="Calibri"/>
          <w:sz w:val="24"/>
          <w:szCs w:val="24"/>
        </w:rPr>
      </w:pPr>
    </w:p>
    <w:p w14:paraId="2D412872" w14:textId="77777777" w:rsidR="001103E9" w:rsidRPr="00814EF8" w:rsidRDefault="001103E9" w:rsidP="001103E9">
      <w:pPr>
        <w:ind w:left="360"/>
        <w:rPr>
          <w:rFonts w:ascii="Calibri" w:hAnsi="Calibri" w:cs="Calibri"/>
          <w:sz w:val="24"/>
          <w:szCs w:val="24"/>
        </w:rPr>
      </w:pPr>
      <w:r w:rsidRPr="00814EF8">
        <w:rPr>
          <w:rFonts w:ascii="Calibri" w:hAnsi="Calibri" w:cs="Calibri"/>
          <w:sz w:val="24"/>
          <w:szCs w:val="24"/>
        </w:rPr>
        <w:t>Begrepet offentlig tjenestemann omfatter i denne sammenheng medlemmer av folkevalgte organer.</w:t>
      </w:r>
    </w:p>
    <w:p w14:paraId="37B95B28" w14:textId="77777777" w:rsidR="001103E9" w:rsidRPr="00814EF8" w:rsidRDefault="001103E9" w:rsidP="001103E9">
      <w:pPr>
        <w:ind w:left="360"/>
        <w:rPr>
          <w:rFonts w:ascii="Calibri" w:hAnsi="Calibri" w:cs="Calibri"/>
          <w:sz w:val="24"/>
          <w:szCs w:val="24"/>
        </w:rPr>
      </w:pPr>
      <w:r w:rsidRPr="00814EF8">
        <w:rPr>
          <w:rFonts w:ascii="Calibri" w:hAnsi="Calibri" w:cs="Calibri"/>
          <w:sz w:val="24"/>
          <w:szCs w:val="24"/>
        </w:rPr>
        <w:lastRenderedPageBreak/>
        <w:t xml:space="preserve">Hvem som er part i en sak, jf. bokstav a, er definert i forvaltningsloven § 2, første ledd, bokstav e: </w:t>
      </w:r>
      <w:r w:rsidRPr="00814EF8">
        <w:rPr>
          <w:rFonts w:ascii="Calibri" w:hAnsi="Calibri" w:cs="Calibri"/>
          <w:i/>
          <w:iCs/>
          <w:sz w:val="24"/>
          <w:szCs w:val="24"/>
        </w:rPr>
        <w:t>part, person som en avgjørelse retter seg mot eller som saken ellers direkte gjelder</w:t>
      </w:r>
      <w:r w:rsidRPr="00814EF8">
        <w:rPr>
          <w:rFonts w:ascii="Calibri" w:hAnsi="Calibri" w:cs="Calibri"/>
          <w:sz w:val="24"/>
          <w:szCs w:val="24"/>
        </w:rPr>
        <w:t xml:space="preserve">. </w:t>
      </w:r>
    </w:p>
    <w:p w14:paraId="5CEADAC8" w14:textId="77777777" w:rsidR="001103E9" w:rsidRPr="00814EF8" w:rsidRDefault="001103E9" w:rsidP="001103E9">
      <w:pPr>
        <w:ind w:left="360"/>
        <w:rPr>
          <w:rFonts w:ascii="Calibri" w:hAnsi="Calibri" w:cs="Calibri"/>
          <w:sz w:val="24"/>
          <w:szCs w:val="24"/>
        </w:rPr>
      </w:pPr>
      <w:r w:rsidRPr="00814EF8">
        <w:rPr>
          <w:rFonts w:ascii="Calibri" w:hAnsi="Calibri" w:cs="Calibri"/>
          <w:sz w:val="24"/>
          <w:szCs w:val="24"/>
        </w:rPr>
        <w:t>Det er</w:t>
      </w:r>
      <w:r w:rsidRPr="00814EF8">
        <w:rPr>
          <w:rFonts w:ascii="Calibri" w:hAnsi="Calibri" w:cs="Calibri"/>
          <w:i/>
          <w:iCs/>
          <w:sz w:val="24"/>
          <w:szCs w:val="24"/>
        </w:rPr>
        <w:t xml:space="preserve"> ikke</w:t>
      </w:r>
      <w:r w:rsidRPr="00814EF8">
        <w:rPr>
          <w:rFonts w:ascii="Calibri" w:hAnsi="Calibri" w:cs="Calibri"/>
          <w:sz w:val="24"/>
          <w:szCs w:val="24"/>
        </w:rPr>
        <w:t xml:space="preserve"> slik at om en folkevalgt faller utenfor de tilfellene som er beskrevet i § 6 første ledd, bokstav a – e, er den folkevalgte automatisk habil. Jo tettere opp til de tilfellene som er nevnt der, og jo nærmere i tid, desto større grunn kan det være til å vurdere habiliteten etter den skjønnsmessige bestemmelsen, se nr. 2 nedenfor.</w:t>
      </w:r>
    </w:p>
    <w:p w14:paraId="38D80EE9" w14:textId="77777777" w:rsidR="001103E9" w:rsidRPr="00814EF8" w:rsidRDefault="001103E9" w:rsidP="001103E9">
      <w:pPr>
        <w:numPr>
          <w:ilvl w:val="0"/>
          <w:numId w:val="12"/>
        </w:numPr>
        <w:spacing w:after="160" w:line="259" w:lineRule="auto"/>
        <w:rPr>
          <w:rFonts w:ascii="Calibri" w:hAnsi="Calibri" w:cs="Calibri"/>
          <w:sz w:val="24"/>
          <w:szCs w:val="24"/>
          <w:u w:val="single"/>
        </w:rPr>
      </w:pPr>
      <w:r w:rsidRPr="00814EF8">
        <w:rPr>
          <w:rFonts w:ascii="Calibri" w:hAnsi="Calibri" w:cs="Calibri"/>
          <w:sz w:val="24"/>
          <w:szCs w:val="24"/>
          <w:u w:val="single"/>
        </w:rPr>
        <w:t>Inhabilitet etter skjønnsmessig vurdering – forvaltningsloven § 6, andre ledd:</w:t>
      </w:r>
    </w:p>
    <w:p w14:paraId="53C0DBD5" w14:textId="77777777" w:rsidR="001103E9" w:rsidRPr="00814EF8" w:rsidRDefault="001103E9" w:rsidP="001103E9">
      <w:pPr>
        <w:pStyle w:val="Listeavsnitt"/>
        <w:rPr>
          <w:rFonts w:ascii="Calibri" w:hAnsi="Calibri" w:cs="Calibri"/>
          <w:i/>
          <w:iCs/>
          <w:color w:val="333333"/>
          <w:sz w:val="24"/>
          <w:szCs w:val="24"/>
          <w:shd w:val="clear" w:color="auto" w:fill="FFFFFF"/>
        </w:rPr>
      </w:pPr>
      <w:r w:rsidRPr="00814EF8">
        <w:rPr>
          <w:rFonts w:ascii="Calibri" w:hAnsi="Calibri" w:cs="Calibri"/>
          <w:i/>
          <w:iCs/>
          <w:color w:val="333333"/>
          <w:sz w:val="24"/>
          <w:szCs w:val="24"/>
          <w:shd w:val="clear" w:color="auto" w:fill="FFFFFF"/>
        </w:rPr>
        <w:t>Likeså er han ugild når andre særegne forhold foreligger som er egnet til å svekke tilliten til hans upartiskhet; blant annet skal legges vekt på om avgjørelsen i saken kan innebære særlig fordel, tap eller ulempe for ham selv eller noen som han har nær personlig tilknytning til. Det skal også legges vekt på om ugildhetsinnsigelse er reist av en part.</w:t>
      </w:r>
    </w:p>
    <w:p w14:paraId="28BE5665" w14:textId="77777777" w:rsidR="001103E9" w:rsidRPr="00814EF8" w:rsidRDefault="001103E9" w:rsidP="001103E9">
      <w:pPr>
        <w:numPr>
          <w:ilvl w:val="0"/>
          <w:numId w:val="12"/>
        </w:numPr>
        <w:spacing w:after="160" w:line="259" w:lineRule="auto"/>
        <w:rPr>
          <w:rFonts w:ascii="Calibri" w:hAnsi="Calibri" w:cs="Calibri"/>
          <w:sz w:val="24"/>
          <w:szCs w:val="24"/>
          <w:u w:val="single"/>
        </w:rPr>
      </w:pPr>
      <w:r w:rsidRPr="00814EF8">
        <w:rPr>
          <w:rFonts w:ascii="Calibri" w:hAnsi="Calibri" w:cs="Calibri"/>
          <w:sz w:val="24"/>
          <w:szCs w:val="24"/>
          <w:u w:val="single"/>
        </w:rPr>
        <w:t>Kommunelovens særregler om inhabilitet</w:t>
      </w:r>
    </w:p>
    <w:p w14:paraId="29051644" w14:textId="77777777" w:rsidR="001103E9" w:rsidRPr="00814EF8" w:rsidRDefault="001103E9" w:rsidP="001103E9">
      <w:pPr>
        <w:shd w:val="clear" w:color="auto" w:fill="FFFFFF"/>
        <w:spacing w:before="225" w:after="0" w:line="240" w:lineRule="auto"/>
        <w:ind w:left="360"/>
        <w:rPr>
          <w:rFonts w:ascii="Calibri" w:eastAsia="Times New Roman" w:hAnsi="Calibri" w:cs="Calibri"/>
          <w:color w:val="333333"/>
          <w:sz w:val="24"/>
          <w:szCs w:val="24"/>
          <w:lang w:eastAsia="nb-NO"/>
        </w:rPr>
      </w:pPr>
      <w:r w:rsidRPr="00814EF8">
        <w:rPr>
          <w:rFonts w:ascii="Calibri" w:eastAsia="Times New Roman" w:hAnsi="Calibri" w:cs="Calibri"/>
          <w:color w:val="333333"/>
          <w:sz w:val="24"/>
          <w:szCs w:val="24"/>
          <w:lang w:eastAsia="nb-NO"/>
        </w:rPr>
        <w:t>Kommuneloven har i § 11-10 særregler for kommunal sektor som supplerer forvaltningslovens bestemmelser:</w:t>
      </w:r>
    </w:p>
    <w:p w14:paraId="433403AC" w14:textId="77777777" w:rsidR="001103E9" w:rsidRPr="00814EF8" w:rsidRDefault="001103E9" w:rsidP="001103E9">
      <w:pPr>
        <w:shd w:val="clear" w:color="auto" w:fill="FFFFFF"/>
        <w:spacing w:before="225" w:after="0" w:line="240" w:lineRule="auto"/>
        <w:ind w:left="1068"/>
        <w:rPr>
          <w:rFonts w:ascii="Calibri" w:eastAsia="Times New Roman" w:hAnsi="Calibri" w:cs="Calibri"/>
          <w:i/>
          <w:iCs/>
          <w:sz w:val="24"/>
          <w:szCs w:val="24"/>
          <w:lang w:eastAsia="nb-NO"/>
        </w:rPr>
      </w:pPr>
      <w:r w:rsidRPr="00814EF8">
        <w:rPr>
          <w:rFonts w:ascii="Calibri" w:eastAsia="Times New Roman" w:hAnsi="Calibri" w:cs="Calibri"/>
          <w:i/>
          <w:iCs/>
          <w:sz w:val="24"/>
          <w:szCs w:val="24"/>
          <w:lang w:eastAsia="nb-NO"/>
        </w:rPr>
        <w:t>Bestemmelsene om inhabilitet i </w:t>
      </w:r>
      <w:hyperlink r:id="rId12" w:history="1">
        <w:r w:rsidRPr="00814EF8">
          <w:rPr>
            <w:rFonts w:ascii="Calibri" w:eastAsia="Times New Roman" w:hAnsi="Calibri" w:cs="Calibri"/>
            <w:i/>
            <w:iCs/>
            <w:sz w:val="24"/>
            <w:szCs w:val="24"/>
            <w:lang w:eastAsia="nb-NO"/>
          </w:rPr>
          <w:t>forvaltningsloven kapittel II</w:t>
        </w:r>
      </w:hyperlink>
      <w:r w:rsidRPr="00814EF8">
        <w:rPr>
          <w:rFonts w:ascii="Calibri" w:eastAsia="Times New Roman" w:hAnsi="Calibri" w:cs="Calibri"/>
          <w:i/>
          <w:iCs/>
          <w:sz w:val="24"/>
          <w:szCs w:val="24"/>
          <w:lang w:eastAsia="nb-NO"/>
        </w:rPr>
        <w:t> gjelder ved behandlingen av saker i folkevalgte organer, med de særreglene som følger av denne paragrafen.</w:t>
      </w:r>
    </w:p>
    <w:p w14:paraId="3D7DB693" w14:textId="77777777" w:rsidR="001103E9" w:rsidRPr="00814EF8" w:rsidRDefault="001103E9" w:rsidP="001103E9">
      <w:pPr>
        <w:shd w:val="clear" w:color="auto" w:fill="FFFFFF"/>
        <w:spacing w:before="225" w:after="0" w:line="240" w:lineRule="auto"/>
        <w:ind w:left="1068"/>
        <w:rPr>
          <w:rFonts w:ascii="Calibri" w:eastAsia="Times New Roman" w:hAnsi="Calibri" w:cs="Calibri"/>
          <w:i/>
          <w:iCs/>
          <w:sz w:val="24"/>
          <w:szCs w:val="24"/>
          <w:lang w:eastAsia="nb-NO"/>
        </w:rPr>
      </w:pPr>
      <w:r w:rsidRPr="00814EF8">
        <w:rPr>
          <w:rFonts w:ascii="Calibri" w:eastAsia="Times New Roman" w:hAnsi="Calibri" w:cs="Calibri"/>
          <w:i/>
          <w:iCs/>
          <w:sz w:val="24"/>
          <w:szCs w:val="24"/>
          <w:lang w:eastAsia="nb-NO"/>
        </w:rPr>
        <w:t>En folkevalgt som har vært med på å forberede eller treffe vedtak i en sak som ansatt i kommunen eller fylkeskommunen, er inhabil til senere å behandle den samme saken i et folkevalgt organ i henholdsvis kommunen eller fylkeskommunen. Første punktum gjelder ikke når årsbudsjett, økonomiplan, kommuneplan, regional planstrategi og regional plan behandles i et folkevalgt organ.</w:t>
      </w:r>
    </w:p>
    <w:p w14:paraId="1AD1FE1F" w14:textId="77777777" w:rsidR="001103E9" w:rsidRPr="00814EF8" w:rsidRDefault="001103E9" w:rsidP="001103E9">
      <w:pPr>
        <w:shd w:val="clear" w:color="auto" w:fill="FFFFFF"/>
        <w:spacing w:before="225" w:after="0" w:line="240" w:lineRule="auto"/>
        <w:ind w:left="1068"/>
        <w:rPr>
          <w:rFonts w:ascii="Calibri" w:eastAsia="Times New Roman" w:hAnsi="Calibri" w:cs="Calibri"/>
          <w:i/>
          <w:iCs/>
          <w:sz w:val="24"/>
          <w:szCs w:val="24"/>
          <w:lang w:eastAsia="nb-NO"/>
        </w:rPr>
      </w:pPr>
      <w:r w:rsidRPr="00814EF8">
        <w:rPr>
          <w:rFonts w:ascii="Calibri" w:eastAsia="Times New Roman" w:hAnsi="Calibri" w:cs="Calibri"/>
          <w:i/>
          <w:iCs/>
          <w:sz w:val="24"/>
          <w:szCs w:val="24"/>
          <w:lang w:eastAsia="nb-NO"/>
        </w:rPr>
        <w:t>Når en klage skal behandles etter </w:t>
      </w:r>
      <w:hyperlink r:id="rId13" w:history="1">
        <w:r w:rsidRPr="00814EF8">
          <w:rPr>
            <w:rFonts w:ascii="Calibri" w:eastAsia="Times New Roman" w:hAnsi="Calibri" w:cs="Calibri"/>
            <w:i/>
            <w:iCs/>
            <w:sz w:val="24"/>
            <w:szCs w:val="24"/>
            <w:lang w:eastAsia="nb-NO"/>
          </w:rPr>
          <w:t>forvaltningsloven § 28</w:t>
        </w:r>
      </w:hyperlink>
      <w:r w:rsidRPr="00814EF8">
        <w:rPr>
          <w:rFonts w:ascii="Calibri" w:eastAsia="Times New Roman" w:hAnsi="Calibri" w:cs="Calibri"/>
          <w:i/>
          <w:iCs/>
          <w:sz w:val="24"/>
          <w:szCs w:val="24"/>
          <w:lang w:eastAsia="nb-NO"/>
        </w:rPr>
        <w:t> andre ledd, er en folkevalgt som har vært med på å forberede eller treffe vedtaket, inhabil til å delta i klageinstansens behandling av vedtaket, eller i forberedelsen av saken for klageinstansen.</w:t>
      </w:r>
    </w:p>
    <w:p w14:paraId="050EA124" w14:textId="77777777" w:rsidR="001103E9" w:rsidRPr="00814EF8" w:rsidRDefault="001103E9" w:rsidP="001103E9">
      <w:pPr>
        <w:shd w:val="clear" w:color="auto" w:fill="FFFFFF"/>
        <w:spacing w:before="225" w:after="0" w:line="240" w:lineRule="auto"/>
        <w:ind w:left="1068"/>
        <w:rPr>
          <w:rFonts w:ascii="Calibri" w:eastAsia="Times New Roman" w:hAnsi="Calibri" w:cs="Calibri"/>
          <w:i/>
          <w:iCs/>
          <w:sz w:val="24"/>
          <w:szCs w:val="24"/>
          <w:lang w:eastAsia="nb-NO"/>
        </w:rPr>
      </w:pPr>
      <w:r w:rsidRPr="00814EF8">
        <w:rPr>
          <w:rFonts w:ascii="Calibri" w:eastAsia="Times New Roman" w:hAnsi="Calibri" w:cs="Calibri"/>
          <w:i/>
          <w:iCs/>
          <w:sz w:val="24"/>
          <w:szCs w:val="24"/>
          <w:lang w:eastAsia="nb-NO"/>
        </w:rPr>
        <w:t>En folkevalgt er ikke inhabil når det skal velges personer til offentlige tillitsverv, eller når det skal fastsettes godtgjøring o.l. for slike verv.</w:t>
      </w:r>
    </w:p>
    <w:p w14:paraId="1D488632" w14:textId="77777777" w:rsidR="001103E9" w:rsidRPr="00814EF8" w:rsidRDefault="001103E9" w:rsidP="001103E9">
      <w:pPr>
        <w:rPr>
          <w:rFonts w:ascii="Calibri" w:hAnsi="Calibri" w:cs="Calibri"/>
          <w:sz w:val="24"/>
          <w:szCs w:val="24"/>
        </w:rPr>
      </w:pPr>
    </w:p>
    <w:p w14:paraId="0250F4C6" w14:textId="77777777" w:rsidR="001103E9" w:rsidRPr="00814EF8" w:rsidRDefault="001103E9" w:rsidP="001103E9">
      <w:pPr>
        <w:ind w:left="708"/>
        <w:rPr>
          <w:rFonts w:ascii="Calibri" w:hAnsi="Calibri" w:cs="Calibri"/>
          <w:sz w:val="24"/>
          <w:szCs w:val="24"/>
        </w:rPr>
      </w:pPr>
      <w:r w:rsidRPr="00814EF8">
        <w:rPr>
          <w:rFonts w:ascii="Calibri" w:hAnsi="Calibri" w:cs="Calibri"/>
          <w:sz w:val="24"/>
          <w:szCs w:val="24"/>
        </w:rPr>
        <w:t xml:space="preserve">I Ringebu er formannskapet klageorgan etter </w:t>
      </w:r>
      <w:proofErr w:type="spellStart"/>
      <w:r w:rsidRPr="00814EF8">
        <w:rPr>
          <w:rFonts w:ascii="Calibri" w:hAnsi="Calibri" w:cs="Calibri"/>
          <w:sz w:val="24"/>
          <w:szCs w:val="24"/>
        </w:rPr>
        <w:t>forvl</w:t>
      </w:r>
      <w:proofErr w:type="spellEnd"/>
      <w:r w:rsidRPr="00814EF8">
        <w:rPr>
          <w:rFonts w:ascii="Calibri" w:hAnsi="Calibri" w:cs="Calibri"/>
          <w:sz w:val="24"/>
          <w:szCs w:val="24"/>
        </w:rPr>
        <w:t>. § 28, andre ledd. For klage-behandling etter særlover eller forskrifter der statlig myndighet er klageorgan, er bestemmelsen i kommuneloven § 11-10 lite aktuell.</w:t>
      </w:r>
    </w:p>
    <w:p w14:paraId="76CB03C7"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C Lovbestemmelser om saksbehandling av mulig inhabilitet</w:t>
      </w:r>
    </w:p>
    <w:p w14:paraId="655CDDCF" w14:textId="77777777" w:rsidR="001103E9" w:rsidRPr="00814EF8" w:rsidRDefault="001103E9" w:rsidP="001103E9">
      <w:pPr>
        <w:ind w:left="708"/>
        <w:rPr>
          <w:rFonts w:ascii="Calibri" w:hAnsi="Calibri" w:cs="Calibri"/>
          <w:sz w:val="24"/>
          <w:szCs w:val="24"/>
        </w:rPr>
      </w:pPr>
      <w:r w:rsidRPr="00814EF8">
        <w:rPr>
          <w:rFonts w:ascii="Calibri" w:hAnsi="Calibri" w:cs="Calibri"/>
          <w:sz w:val="24"/>
          <w:szCs w:val="24"/>
        </w:rPr>
        <w:t>Forvaltningsloven § 8, andre og tredje ledd, lyder slik:</w:t>
      </w:r>
    </w:p>
    <w:p w14:paraId="36B629FD" w14:textId="77777777" w:rsidR="001103E9" w:rsidRPr="00814EF8" w:rsidRDefault="001103E9" w:rsidP="001103E9">
      <w:pPr>
        <w:pStyle w:val="mortaga"/>
        <w:shd w:val="clear" w:color="auto" w:fill="FFFFFF"/>
        <w:spacing w:before="225" w:beforeAutospacing="0" w:after="0" w:afterAutospacing="0"/>
        <w:ind w:left="708"/>
        <w:rPr>
          <w:rFonts w:ascii="Calibri" w:hAnsi="Calibri" w:cs="Calibri"/>
          <w:i/>
          <w:iCs/>
          <w:color w:val="333333"/>
        </w:rPr>
      </w:pPr>
      <w:r w:rsidRPr="00814EF8">
        <w:rPr>
          <w:rFonts w:ascii="Calibri" w:hAnsi="Calibri" w:cs="Calibri"/>
          <w:i/>
          <w:iCs/>
          <w:color w:val="333333"/>
        </w:rPr>
        <w:lastRenderedPageBreak/>
        <w:t>I kollegiale organ treffes avgjørelsen av organet selv, uten at vedkommende medlem deltar. Dersom det i en og samme sak oppstår spørsmål om ugildhet for flere medlemmer, kan ingen av dem delta ved avgjørelsen av sin egen eller et annet medlems habilitet, med mindre organet ellers ikke ville være vedtaksført i spørsmålet. I sistnevnte tilfelle skal alle møtende medlemmer delta.</w:t>
      </w:r>
    </w:p>
    <w:p w14:paraId="057595F2" w14:textId="77777777" w:rsidR="001103E9" w:rsidRPr="00814EF8" w:rsidRDefault="001103E9" w:rsidP="001103E9">
      <w:pPr>
        <w:pStyle w:val="mortaga"/>
        <w:shd w:val="clear" w:color="auto" w:fill="FFFFFF"/>
        <w:spacing w:before="225" w:beforeAutospacing="0" w:after="0" w:afterAutospacing="0"/>
        <w:ind w:left="708"/>
        <w:rPr>
          <w:rFonts w:ascii="Calibri" w:hAnsi="Calibri" w:cs="Calibri"/>
          <w:i/>
          <w:iCs/>
          <w:color w:val="333333"/>
        </w:rPr>
      </w:pPr>
      <w:r w:rsidRPr="00814EF8">
        <w:rPr>
          <w:rFonts w:ascii="Calibri" w:hAnsi="Calibri" w:cs="Calibri"/>
          <w:i/>
          <w:iCs/>
          <w:color w:val="333333"/>
        </w:rPr>
        <w:t>Medlem skal i god tid si fra om forhold som gjør eller kan gjøre ham ugild. Før spørsmålet avgjøres, bør varamann eller annen stedfortreder innkalles til å møte og delta ved avgjørelsen dersom det kan gjøres uten vesentlig tidsspille eller kostnad.</w:t>
      </w:r>
    </w:p>
    <w:p w14:paraId="0B061FE3" w14:textId="77777777" w:rsidR="001103E9" w:rsidRPr="00814EF8" w:rsidRDefault="001103E9" w:rsidP="001103E9">
      <w:pPr>
        <w:rPr>
          <w:rFonts w:ascii="Calibri" w:hAnsi="Calibri" w:cs="Calibri"/>
          <w:b/>
          <w:bCs/>
          <w:sz w:val="24"/>
          <w:szCs w:val="24"/>
        </w:rPr>
      </w:pPr>
    </w:p>
    <w:p w14:paraId="0501F912"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D Folkevalgtes plikter før møtet</w:t>
      </w:r>
    </w:p>
    <w:p w14:paraId="37BCE475" w14:textId="77777777" w:rsidR="001103E9" w:rsidRPr="00814EF8" w:rsidRDefault="001103E9" w:rsidP="001103E9">
      <w:pPr>
        <w:rPr>
          <w:rFonts w:ascii="Calibri" w:hAnsi="Calibri" w:cs="Calibri"/>
          <w:sz w:val="24"/>
          <w:szCs w:val="24"/>
        </w:rPr>
      </w:pPr>
      <w:r w:rsidRPr="00814EF8">
        <w:rPr>
          <w:rFonts w:ascii="Calibri" w:hAnsi="Calibri" w:cs="Calibri"/>
          <w:sz w:val="24"/>
          <w:szCs w:val="24"/>
        </w:rPr>
        <w:t xml:space="preserve">Som nevnt under C </w:t>
      </w:r>
      <w:r w:rsidRPr="00814EF8">
        <w:rPr>
          <w:rFonts w:ascii="Calibri" w:hAnsi="Calibri" w:cs="Calibri"/>
          <w:sz w:val="24"/>
          <w:szCs w:val="24"/>
          <w:u w:val="single"/>
        </w:rPr>
        <w:t>plikter</w:t>
      </w:r>
      <w:r w:rsidRPr="00814EF8">
        <w:rPr>
          <w:rFonts w:ascii="Calibri" w:hAnsi="Calibri" w:cs="Calibri"/>
          <w:sz w:val="24"/>
          <w:szCs w:val="24"/>
        </w:rPr>
        <w:t xml:space="preserve"> en folkevalgt å si fra </w:t>
      </w:r>
      <w:r w:rsidRPr="00814EF8">
        <w:rPr>
          <w:rFonts w:ascii="Calibri" w:hAnsi="Calibri" w:cs="Calibri"/>
          <w:sz w:val="24"/>
          <w:szCs w:val="24"/>
          <w:u w:val="single"/>
        </w:rPr>
        <w:t>i god tid</w:t>
      </w:r>
      <w:r w:rsidRPr="00814EF8">
        <w:rPr>
          <w:rFonts w:ascii="Calibri" w:hAnsi="Calibri" w:cs="Calibri"/>
          <w:sz w:val="24"/>
          <w:szCs w:val="24"/>
        </w:rPr>
        <w:t xml:space="preserve"> om </w:t>
      </w:r>
      <w:r w:rsidRPr="00814EF8">
        <w:rPr>
          <w:rFonts w:ascii="Calibri" w:hAnsi="Calibri" w:cs="Calibri"/>
          <w:sz w:val="24"/>
          <w:szCs w:val="24"/>
          <w:u w:val="single"/>
        </w:rPr>
        <w:t>forhold som gjør eller kan gjøre ham ugild</w:t>
      </w:r>
      <w:r w:rsidRPr="00814EF8">
        <w:rPr>
          <w:rFonts w:ascii="Calibri" w:hAnsi="Calibri" w:cs="Calibri"/>
          <w:sz w:val="24"/>
          <w:szCs w:val="24"/>
        </w:rPr>
        <w:t xml:space="preserve"> (inhabil). </w:t>
      </w:r>
    </w:p>
    <w:p w14:paraId="649529D4" w14:textId="77777777" w:rsidR="001103E9" w:rsidRPr="00814EF8" w:rsidRDefault="001103E9" w:rsidP="001103E9">
      <w:pPr>
        <w:numPr>
          <w:ilvl w:val="0"/>
          <w:numId w:val="13"/>
        </w:numPr>
        <w:spacing w:after="160" w:line="259" w:lineRule="auto"/>
        <w:rPr>
          <w:rFonts w:ascii="Calibri" w:hAnsi="Calibri" w:cs="Calibri"/>
          <w:sz w:val="24"/>
          <w:szCs w:val="24"/>
        </w:rPr>
      </w:pPr>
      <w:r w:rsidRPr="00814EF8">
        <w:rPr>
          <w:rFonts w:ascii="Calibri" w:hAnsi="Calibri" w:cs="Calibri"/>
          <w:sz w:val="24"/>
          <w:szCs w:val="24"/>
        </w:rPr>
        <w:t xml:space="preserve">Når et medlem av et folkevalgt organ i Ringebu kommune har mottatt innkalling til et møte, skal den folkevalgte uten unødig forsinkelse gå gjennom saklista for å se om det er noen saker der vedkommende </w:t>
      </w:r>
      <w:r w:rsidRPr="00814EF8">
        <w:rPr>
          <w:rFonts w:ascii="Calibri" w:hAnsi="Calibri" w:cs="Calibri"/>
          <w:sz w:val="24"/>
          <w:szCs w:val="24"/>
          <w:u w:val="single"/>
        </w:rPr>
        <w:t xml:space="preserve">er </w:t>
      </w:r>
      <w:r w:rsidRPr="00814EF8">
        <w:rPr>
          <w:rFonts w:ascii="Calibri" w:hAnsi="Calibri" w:cs="Calibri"/>
          <w:sz w:val="24"/>
          <w:szCs w:val="24"/>
        </w:rPr>
        <w:t xml:space="preserve">eller </w:t>
      </w:r>
      <w:r w:rsidRPr="00814EF8">
        <w:rPr>
          <w:rFonts w:ascii="Calibri" w:hAnsi="Calibri" w:cs="Calibri"/>
          <w:sz w:val="24"/>
          <w:szCs w:val="24"/>
          <w:u w:val="single"/>
        </w:rPr>
        <w:t>kan være</w:t>
      </w:r>
      <w:r w:rsidRPr="00814EF8">
        <w:rPr>
          <w:rFonts w:ascii="Calibri" w:hAnsi="Calibri" w:cs="Calibri"/>
          <w:sz w:val="24"/>
          <w:szCs w:val="24"/>
        </w:rPr>
        <w:t xml:space="preserve"> inhabil. </w:t>
      </w:r>
    </w:p>
    <w:p w14:paraId="4972953D" w14:textId="77777777" w:rsidR="001103E9" w:rsidRPr="00814EF8" w:rsidRDefault="001103E9" w:rsidP="001103E9">
      <w:pPr>
        <w:numPr>
          <w:ilvl w:val="0"/>
          <w:numId w:val="13"/>
        </w:numPr>
        <w:spacing w:after="160" w:line="259" w:lineRule="auto"/>
        <w:rPr>
          <w:rFonts w:ascii="Calibri" w:hAnsi="Calibri" w:cs="Calibri"/>
          <w:sz w:val="24"/>
          <w:szCs w:val="24"/>
        </w:rPr>
      </w:pPr>
      <w:r w:rsidRPr="00814EF8">
        <w:rPr>
          <w:rFonts w:ascii="Calibri" w:hAnsi="Calibri" w:cs="Calibri"/>
          <w:sz w:val="24"/>
          <w:szCs w:val="24"/>
        </w:rPr>
        <w:t xml:space="preserve">Dersom det er en eller flere slike saker på saklista, skal den folkevalgte uten unødig opphold melde fra til utvalgets sekretær eller formannskaps-sekretæren. </w:t>
      </w:r>
    </w:p>
    <w:p w14:paraId="4BD41C3A" w14:textId="77777777" w:rsidR="001103E9" w:rsidRPr="00814EF8" w:rsidRDefault="001103E9" w:rsidP="001103E9">
      <w:pPr>
        <w:numPr>
          <w:ilvl w:val="0"/>
          <w:numId w:val="13"/>
        </w:numPr>
        <w:spacing w:after="160" w:line="259" w:lineRule="auto"/>
        <w:rPr>
          <w:rFonts w:ascii="Calibri" w:hAnsi="Calibri" w:cs="Calibri"/>
          <w:sz w:val="24"/>
          <w:szCs w:val="24"/>
        </w:rPr>
      </w:pPr>
      <w:r w:rsidRPr="00814EF8">
        <w:rPr>
          <w:rFonts w:ascii="Calibri" w:hAnsi="Calibri" w:cs="Calibri"/>
          <w:sz w:val="24"/>
          <w:szCs w:val="24"/>
        </w:rPr>
        <w:t>Meldingen om inhabilitet, eller mulig inhabilitet, skal inneholde opplysning om alle relevante forhold av betydning for avgjørelsen av inhabilitets-spørsmålet. Den folkevalgte skal ikke i meldingen argumentere for et bestemt utfall i habilitetsvurderingen, men gi alle faktiske opplysninger av betydning for spørsmålet.</w:t>
      </w:r>
    </w:p>
    <w:p w14:paraId="234BB975" w14:textId="77777777" w:rsidR="001103E9" w:rsidRPr="00814EF8" w:rsidRDefault="001103E9" w:rsidP="001103E9">
      <w:pPr>
        <w:numPr>
          <w:ilvl w:val="0"/>
          <w:numId w:val="13"/>
        </w:numPr>
        <w:spacing w:after="160" w:line="259" w:lineRule="auto"/>
        <w:rPr>
          <w:rFonts w:ascii="Calibri" w:hAnsi="Calibri" w:cs="Calibri"/>
          <w:sz w:val="24"/>
          <w:szCs w:val="24"/>
        </w:rPr>
      </w:pPr>
      <w:r w:rsidRPr="00814EF8">
        <w:rPr>
          <w:rFonts w:ascii="Calibri" w:hAnsi="Calibri" w:cs="Calibri"/>
          <w:sz w:val="24"/>
          <w:szCs w:val="24"/>
        </w:rPr>
        <w:t>Den folkevalgte som har meldt inhabilitet, eller mulig inhabilitet, skal ikke innkalle varamedlem for seg. Sekretariatet for organet vil ta seg av det. Det er imidlertid ikke noe til hinder for at den folkevalgte underretter varamedlem i sin gruppe om at inhabilitetsspørsmål vil bli vurdert og at varamedlem kan bli innkalt.</w:t>
      </w:r>
    </w:p>
    <w:p w14:paraId="2B1695EC"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E Sekretariatets behandling av melding om mulig inhabilitet</w:t>
      </w:r>
    </w:p>
    <w:p w14:paraId="1C823F1A" w14:textId="77777777" w:rsidR="001103E9" w:rsidRPr="00814EF8" w:rsidRDefault="001103E9" w:rsidP="001103E9">
      <w:pPr>
        <w:rPr>
          <w:rFonts w:ascii="Calibri" w:hAnsi="Calibri" w:cs="Calibri"/>
          <w:color w:val="EE0000"/>
          <w:sz w:val="24"/>
          <w:szCs w:val="24"/>
        </w:rPr>
      </w:pPr>
      <w:r w:rsidRPr="00814EF8">
        <w:rPr>
          <w:rFonts w:ascii="Calibri" w:hAnsi="Calibri" w:cs="Calibri"/>
          <w:sz w:val="24"/>
          <w:szCs w:val="24"/>
        </w:rPr>
        <w:t xml:space="preserve">Når sekretariatet for det folkevalgte organet har mottatt melding om (mulig) inhabilitet, skal lederen for organet underrettes. Inhabilitetsspørsmålet avgjøres av organet. Ordfører/utvalgsleder med støtte fra </w:t>
      </w:r>
      <w:proofErr w:type="spellStart"/>
      <w:r w:rsidRPr="00814EF8">
        <w:rPr>
          <w:rFonts w:ascii="Calibri" w:hAnsi="Calibri" w:cs="Calibri"/>
          <w:sz w:val="24"/>
          <w:szCs w:val="24"/>
        </w:rPr>
        <w:t>sekretariatat</w:t>
      </w:r>
      <w:proofErr w:type="spellEnd"/>
      <w:r w:rsidRPr="00814EF8">
        <w:rPr>
          <w:rFonts w:ascii="Calibri" w:hAnsi="Calibri" w:cs="Calibri"/>
          <w:sz w:val="24"/>
          <w:szCs w:val="24"/>
        </w:rPr>
        <w:t xml:space="preserve"> har ansvaret for å forberede behandlingen i organet. Ordfører/utvalgsleder og kommunedirektør/formannskaps-sekretær/ utvalgssekretær kan be om å få alle relevante opplysninger fra den folkevalgte som skal få sin habilitet vurdert. Disse har også ansvar for at den eller de aktuelle habilitetsreglene blir presentert for det organet som skal avgjøre habiliteten,</w:t>
      </w:r>
    </w:p>
    <w:p w14:paraId="4BBB7D0B"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F Behandling av habilitetsspørsmål i møtet</w:t>
      </w:r>
    </w:p>
    <w:p w14:paraId="72B8FC77"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lastRenderedPageBreak/>
        <w:t>Ordfører/utvalgsleder åpner behandlingen av den enkelte sak på saklista i samsvar med reglementet. Hvis ingen har forhåndsmeldt habilitetsspørsmål, er habilitet ikke et tema som ordfører/utvalgsleder trenger å ta opp.</w:t>
      </w:r>
    </w:p>
    <w:p w14:paraId="3DBA4988"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Hvis en representant i møtet likevel mener at habilitetsspørsmål for seg eller andre møtedeltakere bør vurderes uten at det er meldt på forhånd, skal det skje straks ordfører/utvalgsleder har annonsert saken. Hvis inhabilitetsspørsmål tas opp etter at realitetsbehandling av saken er påbegynt, skal ordfører/utvalgsleder straks stoppe realitetsbehandlingen og gå over til behandling av habilitetsspørsmålet. Prosedyren blir som beskrevet i neste trinn.</w:t>
      </w:r>
    </w:p>
    <w:p w14:paraId="2EA3BA41"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Hvis en eller flere representanter har meldt fra på forhånd om (mulig) inhabilitet, gjør ordfører/utvalgsleder oppmerksom på det når saken annonseres. Ordfører/utvalgsleder ber da vedkommende representant(-er) om å redegjøre for de faktiske forhold som eventuelt kan være grunnlag for inhabilitet. Denne redegjørelsen skal være like grundig og detaljert som meldt før møtet. Opplysningsplikten påhviler den enkelte representant. Det folkevalgte organet avgjør habilitetsspørsmålet, og for å kunne gjøre det, må organet ha alle relevante opplysninger.</w:t>
      </w:r>
    </w:p>
    <w:p w14:paraId="5A2D0CE7"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 xml:space="preserve">Hvis flere medlemmer av organet skal få sin habilitet vurdert, skal de i tur og orden gi sin redegjørelse. Ordfører/utvalgsleder bestemmer rekkefølgen. </w:t>
      </w:r>
    </w:p>
    <w:p w14:paraId="0D54EA17"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Når redegjørelsene er gitt, bør ordfører/utvalgsleder spørre møtedeltakerne (de som ikke får sin habilitet vurdert) om de har spørsmål til de som skal få sin habilitet vurdert, om relevante faktiske forhold. De skal ikke be om vurderinger. På dette trinnet skal det ikke være noen debatt om habilitetsspørsmålet.</w:t>
      </w:r>
    </w:p>
    <w:p w14:paraId="0DA5249D"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 xml:space="preserve">Når de faktiske forholdene av betydning for habilitetsspørsmålet er tilstrekkelig belyst, ber ordfører/utvalgsleder den/de som skal få sin habilitet vurdert, om å fratre. Hvis det er flere mulige inhabile, må alle fratre selv om inhabilitets-grunnene kan være </w:t>
      </w:r>
      <w:proofErr w:type="spellStart"/>
      <w:r w:rsidRPr="00814EF8">
        <w:rPr>
          <w:rFonts w:ascii="Calibri" w:hAnsi="Calibri" w:cs="Calibri"/>
          <w:sz w:val="24"/>
          <w:szCs w:val="24"/>
        </w:rPr>
        <w:t>forskjelllige</w:t>
      </w:r>
      <w:proofErr w:type="spellEnd"/>
      <w:r w:rsidRPr="00814EF8">
        <w:rPr>
          <w:rFonts w:ascii="Calibri" w:hAnsi="Calibri" w:cs="Calibri"/>
          <w:sz w:val="24"/>
          <w:szCs w:val="24"/>
        </w:rPr>
        <w:t xml:space="preserve">. </w:t>
      </w:r>
    </w:p>
    <w:p w14:paraId="137A4D9D" w14:textId="77777777" w:rsidR="001103E9" w:rsidRPr="00814EF8" w:rsidRDefault="001103E9" w:rsidP="001103E9">
      <w:pPr>
        <w:ind w:left="720"/>
        <w:rPr>
          <w:rFonts w:ascii="Calibri" w:hAnsi="Calibri" w:cs="Calibri"/>
          <w:sz w:val="24"/>
          <w:szCs w:val="24"/>
        </w:rPr>
      </w:pPr>
      <w:r w:rsidRPr="00814EF8">
        <w:rPr>
          <w:rFonts w:ascii="Calibri" w:hAnsi="Calibri" w:cs="Calibri"/>
          <w:sz w:val="24"/>
          <w:szCs w:val="24"/>
        </w:rPr>
        <w:t xml:space="preserve">Hvis organet ikke blir vedtaksført dersom de som får sin habilitet vurdert skulle bli kjent inhabile, deltar </w:t>
      </w:r>
      <w:r w:rsidRPr="00814EF8">
        <w:rPr>
          <w:rFonts w:ascii="Calibri" w:hAnsi="Calibri" w:cs="Calibri"/>
          <w:sz w:val="24"/>
          <w:szCs w:val="24"/>
          <w:u w:val="single"/>
        </w:rPr>
        <w:t>alle</w:t>
      </w:r>
      <w:r w:rsidRPr="00814EF8">
        <w:rPr>
          <w:rFonts w:ascii="Calibri" w:hAnsi="Calibri" w:cs="Calibri"/>
          <w:sz w:val="24"/>
          <w:szCs w:val="24"/>
        </w:rPr>
        <w:t xml:space="preserve"> ved behandlingen av habilitetsspørsmålene. </w:t>
      </w:r>
    </w:p>
    <w:p w14:paraId="56004AD0"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Ordfører/utvalgsleder, kommunedirektøren eller hans/hennes representant presenterer de aktuelle lovbestemmelsene om inhabilitet. Presentasjonen skal være nøytral og ikke være ledende eller inneholde vurderinger eller konklusjon.</w:t>
      </w:r>
    </w:p>
    <w:p w14:paraId="6442F20A"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Ordfører/utvalgsleder åpner deretter for debatt om habilitetsspørsmålet. Temaet er om de faktiske forholdene som er lagt fram fra den som får sin habilitet vurdert, faller inn under lovens kriterier for inhabilitet.</w:t>
      </w:r>
    </w:p>
    <w:p w14:paraId="774C59B9" w14:textId="77777777" w:rsidR="001103E9" w:rsidRPr="00814EF8" w:rsidRDefault="001103E9" w:rsidP="001103E9">
      <w:pPr>
        <w:ind w:left="720"/>
        <w:rPr>
          <w:rFonts w:ascii="Calibri" w:hAnsi="Calibri" w:cs="Calibri"/>
          <w:sz w:val="24"/>
          <w:szCs w:val="24"/>
        </w:rPr>
      </w:pPr>
      <w:r w:rsidRPr="00814EF8">
        <w:rPr>
          <w:rFonts w:ascii="Calibri" w:hAnsi="Calibri" w:cs="Calibri"/>
          <w:sz w:val="24"/>
          <w:szCs w:val="24"/>
        </w:rPr>
        <w:t>Hvis flere medlemmer av organet får sin habilitet vurdert, bør debatten gjelde hver enkelt etter tur.</w:t>
      </w:r>
    </w:p>
    <w:p w14:paraId="471B0438"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lastRenderedPageBreak/>
        <w:t>Når habilitetsspørsmålet er debattert ferdig, tar ordfører/utvalgsleder habilitets-spørsmålet opp til votering – for hver enkelt hvis det er flere mulig inhabile. Voteringen foregår ved åpen votering med stemmetegn.</w:t>
      </w:r>
    </w:p>
    <w:p w14:paraId="727DB57A"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Etter voteringen for samtlige mulig inhabile, presenterer ordfører/utvalgsleder voteringsresultatet:</w:t>
      </w:r>
    </w:p>
    <w:p w14:paraId="5BA8010E" w14:textId="77777777" w:rsidR="001103E9" w:rsidRPr="00814EF8" w:rsidRDefault="001103E9" w:rsidP="001103E9">
      <w:pPr>
        <w:numPr>
          <w:ilvl w:val="0"/>
          <w:numId w:val="15"/>
        </w:numPr>
        <w:spacing w:after="160" w:line="259" w:lineRule="auto"/>
        <w:rPr>
          <w:rFonts w:ascii="Calibri" w:hAnsi="Calibri" w:cs="Calibri"/>
          <w:sz w:val="24"/>
          <w:szCs w:val="24"/>
        </w:rPr>
      </w:pPr>
      <w:r w:rsidRPr="00814EF8">
        <w:rPr>
          <w:rFonts w:ascii="Calibri" w:hAnsi="Calibri" w:cs="Calibri"/>
          <w:sz w:val="24"/>
          <w:szCs w:val="24"/>
        </w:rPr>
        <w:t>Ble ett eller flere medlemmer vedtatt å være habile, ber ordfører/utvalgsleder den/de som er erklært habil om å tiltre møtet.</w:t>
      </w:r>
    </w:p>
    <w:p w14:paraId="573D5A1D" w14:textId="77777777" w:rsidR="001103E9" w:rsidRPr="00814EF8" w:rsidRDefault="001103E9" w:rsidP="001103E9">
      <w:pPr>
        <w:numPr>
          <w:ilvl w:val="0"/>
          <w:numId w:val="15"/>
        </w:numPr>
        <w:spacing w:after="160" w:line="259" w:lineRule="auto"/>
        <w:rPr>
          <w:rFonts w:ascii="Calibri" w:hAnsi="Calibri" w:cs="Calibri"/>
          <w:sz w:val="24"/>
          <w:szCs w:val="24"/>
        </w:rPr>
      </w:pPr>
      <w:r w:rsidRPr="00814EF8">
        <w:rPr>
          <w:rFonts w:ascii="Calibri" w:hAnsi="Calibri" w:cs="Calibri"/>
          <w:sz w:val="24"/>
          <w:szCs w:val="24"/>
        </w:rPr>
        <w:t>Ble ett eller flere medlemmer erklært inhabile, ber ordfører/utvalgsleder eventuelle møtende varamedlemmer om å tiltre.</w:t>
      </w:r>
    </w:p>
    <w:p w14:paraId="67B6F72E" w14:textId="77777777" w:rsidR="001103E9" w:rsidRPr="00814EF8" w:rsidRDefault="001103E9" w:rsidP="001103E9">
      <w:pPr>
        <w:numPr>
          <w:ilvl w:val="0"/>
          <w:numId w:val="14"/>
        </w:numPr>
        <w:spacing w:after="160" w:line="259" w:lineRule="auto"/>
        <w:rPr>
          <w:rFonts w:ascii="Calibri" w:hAnsi="Calibri" w:cs="Calibri"/>
          <w:sz w:val="24"/>
          <w:szCs w:val="24"/>
        </w:rPr>
      </w:pPr>
      <w:r w:rsidRPr="00814EF8">
        <w:rPr>
          <w:rFonts w:ascii="Calibri" w:hAnsi="Calibri" w:cs="Calibri"/>
          <w:sz w:val="24"/>
          <w:szCs w:val="24"/>
        </w:rPr>
        <w:t>Ordfører/utvalgsleder tar deretter den aktuelle saken opp til realitetsbehandling. Inhabilitet gjelder for en konkret sak. Når den er ferdigbehandlet, erklærer ordfører/utvalgsleder at varamedlem som har møtt for en inhabil, skal fratre, og det faste medlemmet igjen ta plass.</w:t>
      </w:r>
    </w:p>
    <w:p w14:paraId="71358815" w14:textId="77777777" w:rsidR="001103E9" w:rsidRPr="00814EF8" w:rsidRDefault="001103E9" w:rsidP="001103E9">
      <w:pPr>
        <w:numPr>
          <w:ilvl w:val="0"/>
          <w:numId w:val="14"/>
        </w:numPr>
        <w:spacing w:after="160" w:line="259" w:lineRule="auto"/>
        <w:rPr>
          <w:rFonts w:ascii="Calibri" w:hAnsi="Calibri" w:cs="Calibri"/>
          <w:b/>
          <w:bCs/>
          <w:sz w:val="24"/>
          <w:szCs w:val="24"/>
        </w:rPr>
      </w:pPr>
      <w:r w:rsidRPr="00814EF8">
        <w:rPr>
          <w:rFonts w:ascii="Calibri" w:hAnsi="Calibri" w:cs="Calibri"/>
          <w:sz w:val="24"/>
          <w:szCs w:val="24"/>
        </w:rPr>
        <w:t xml:space="preserve">Vedtak om inhabilitet, inhabilitetsgrunnen og voteringsresultat skal protokolleres. </w:t>
      </w:r>
    </w:p>
    <w:p w14:paraId="2DB28ECF"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G Konsekvens av uriktig avgjørelse av habilitetsspørsmål</w:t>
      </w:r>
    </w:p>
    <w:p w14:paraId="361D545F" w14:textId="77777777" w:rsidR="001103E9" w:rsidRPr="00814EF8" w:rsidRDefault="001103E9" w:rsidP="001103E9">
      <w:pPr>
        <w:rPr>
          <w:rFonts w:ascii="Calibri" w:hAnsi="Calibri" w:cs="Calibri"/>
          <w:sz w:val="24"/>
          <w:szCs w:val="24"/>
        </w:rPr>
      </w:pPr>
      <w:r w:rsidRPr="00814EF8">
        <w:rPr>
          <w:rFonts w:ascii="Calibri" w:hAnsi="Calibri" w:cs="Calibri"/>
          <w:sz w:val="24"/>
          <w:szCs w:val="24"/>
        </w:rPr>
        <w:t xml:space="preserve">Vedtak om å erklære medlem av et folkevalgt organ som habil eller inhabil er en prosessledende beslutning, ikke et enkeltvedtak. Vedtaket kan ikke påklages etter forvaltningslovens bestemmelser om klage. Derimot er det uttrykkelig slått fast i kommuneloven § 27-2, første ledd, bokstav c, at et vedtak som gjelder spørsmål om inhabilitet kan </w:t>
      </w:r>
      <w:proofErr w:type="spellStart"/>
      <w:r w:rsidRPr="00814EF8">
        <w:rPr>
          <w:rFonts w:ascii="Calibri" w:hAnsi="Calibri" w:cs="Calibri"/>
          <w:sz w:val="24"/>
          <w:szCs w:val="24"/>
        </w:rPr>
        <w:t>lovlighetskontrolleres</w:t>
      </w:r>
      <w:proofErr w:type="spellEnd"/>
      <w:r w:rsidRPr="00814EF8">
        <w:rPr>
          <w:rFonts w:ascii="Calibri" w:hAnsi="Calibri" w:cs="Calibri"/>
          <w:sz w:val="24"/>
          <w:szCs w:val="24"/>
        </w:rPr>
        <w:t xml:space="preserve"> etter bestemmelsene i kommuneloven kapittel 27. Vedtaket kan også bringes inn for domstolene og for Sivilombudet. </w:t>
      </w:r>
    </w:p>
    <w:p w14:paraId="1E3A8AB1" w14:textId="77777777" w:rsidR="001103E9" w:rsidRPr="00814EF8" w:rsidRDefault="001103E9" w:rsidP="001103E9">
      <w:pPr>
        <w:rPr>
          <w:rFonts w:ascii="Calibri" w:hAnsi="Calibri" w:cs="Calibri"/>
          <w:sz w:val="24"/>
          <w:szCs w:val="24"/>
        </w:rPr>
      </w:pPr>
      <w:r w:rsidRPr="00814EF8">
        <w:rPr>
          <w:rFonts w:ascii="Calibri" w:hAnsi="Calibri" w:cs="Calibri"/>
          <w:sz w:val="24"/>
          <w:szCs w:val="24"/>
        </w:rPr>
        <w:t>Forvaltningsloven § 41 har regler om konsekvensen av at det er begått feil i saksbehandlingen:</w:t>
      </w:r>
    </w:p>
    <w:p w14:paraId="46E77B65" w14:textId="77777777" w:rsidR="001103E9" w:rsidRPr="00814EF8" w:rsidRDefault="001103E9" w:rsidP="001103E9">
      <w:pPr>
        <w:ind w:left="708"/>
        <w:rPr>
          <w:rFonts w:ascii="Calibri" w:hAnsi="Calibri" w:cs="Calibri"/>
          <w:i/>
          <w:iCs/>
          <w:sz w:val="24"/>
          <w:szCs w:val="24"/>
        </w:rPr>
      </w:pPr>
      <w:r w:rsidRPr="00814EF8">
        <w:rPr>
          <w:rFonts w:ascii="Calibri" w:hAnsi="Calibri" w:cs="Calibri"/>
          <w:i/>
          <w:iCs/>
          <w:color w:val="333333"/>
          <w:sz w:val="24"/>
          <w:szCs w:val="24"/>
          <w:shd w:val="clear" w:color="auto" w:fill="FFFFFF"/>
        </w:rPr>
        <w:t xml:space="preserve">Er reglene om behandlingsmåten i denne lov eller forskrifter gitt i </w:t>
      </w:r>
      <w:proofErr w:type="gramStart"/>
      <w:r w:rsidRPr="00814EF8">
        <w:rPr>
          <w:rFonts w:ascii="Calibri" w:hAnsi="Calibri" w:cs="Calibri"/>
          <w:i/>
          <w:iCs/>
          <w:color w:val="333333"/>
          <w:sz w:val="24"/>
          <w:szCs w:val="24"/>
          <w:shd w:val="clear" w:color="auto" w:fill="FFFFFF"/>
        </w:rPr>
        <w:t>medhold av</w:t>
      </w:r>
      <w:proofErr w:type="gramEnd"/>
      <w:r w:rsidRPr="00814EF8">
        <w:rPr>
          <w:rFonts w:ascii="Calibri" w:hAnsi="Calibri" w:cs="Calibri"/>
          <w:i/>
          <w:iCs/>
          <w:color w:val="333333"/>
          <w:sz w:val="24"/>
          <w:szCs w:val="24"/>
          <w:shd w:val="clear" w:color="auto" w:fill="FFFFFF"/>
        </w:rPr>
        <w:t xml:space="preserve"> loven ikke overholdt ved behandlingen av en sak som gjelder enkeltvedtak, er vedtaket likevel gyldig når det er grunn til å regne med at feilen ikke kan ha virket bestemmende på vedtakets innhold.</w:t>
      </w:r>
    </w:p>
    <w:p w14:paraId="3975BC64" w14:textId="77777777" w:rsidR="001103E9" w:rsidRPr="00814EF8" w:rsidRDefault="001103E9" w:rsidP="001103E9">
      <w:pPr>
        <w:rPr>
          <w:rFonts w:ascii="Calibri" w:hAnsi="Calibri" w:cs="Calibri"/>
          <w:sz w:val="24"/>
          <w:szCs w:val="24"/>
        </w:rPr>
      </w:pPr>
      <w:r w:rsidRPr="00814EF8">
        <w:rPr>
          <w:rFonts w:ascii="Calibri" w:hAnsi="Calibri" w:cs="Calibri"/>
          <w:sz w:val="24"/>
          <w:szCs w:val="24"/>
        </w:rPr>
        <w:t xml:space="preserve">Hvis vedtak om sakens realitet er fattet under sterk dissens, kan det tale for at en eventuell uriktig avgjørelse av habilitetsspørsmål kan ha virket bestemmende på vedtakets innhold. </w:t>
      </w:r>
    </w:p>
    <w:p w14:paraId="74C914FA" w14:textId="77777777" w:rsidR="001103E9" w:rsidRPr="00814EF8" w:rsidRDefault="001103E9" w:rsidP="001103E9">
      <w:pPr>
        <w:rPr>
          <w:rFonts w:ascii="Calibri" w:hAnsi="Calibri" w:cs="Calibri"/>
          <w:sz w:val="24"/>
          <w:szCs w:val="24"/>
        </w:rPr>
      </w:pPr>
    </w:p>
    <w:p w14:paraId="6136B40D" w14:textId="77777777" w:rsidR="001103E9" w:rsidRPr="00814EF8" w:rsidRDefault="001103E9" w:rsidP="001103E9">
      <w:pPr>
        <w:rPr>
          <w:rFonts w:ascii="Calibri" w:hAnsi="Calibri" w:cs="Calibri"/>
          <w:b/>
          <w:bCs/>
          <w:sz w:val="24"/>
          <w:szCs w:val="24"/>
        </w:rPr>
      </w:pPr>
      <w:r w:rsidRPr="00814EF8">
        <w:rPr>
          <w:rFonts w:ascii="Calibri" w:hAnsi="Calibri" w:cs="Calibri"/>
          <w:b/>
          <w:bCs/>
          <w:sz w:val="24"/>
          <w:szCs w:val="24"/>
        </w:rPr>
        <w:t>H Endring av rutinene</w:t>
      </w:r>
    </w:p>
    <w:p w14:paraId="0AA65308" w14:textId="77777777" w:rsidR="001103E9" w:rsidRPr="00814EF8" w:rsidRDefault="001103E9" w:rsidP="001103E9">
      <w:pPr>
        <w:rPr>
          <w:rFonts w:ascii="Calibri" w:hAnsi="Calibri" w:cs="Calibri"/>
          <w:sz w:val="24"/>
          <w:szCs w:val="24"/>
        </w:rPr>
      </w:pPr>
      <w:r w:rsidRPr="00814EF8">
        <w:rPr>
          <w:rFonts w:ascii="Calibri" w:hAnsi="Calibri" w:cs="Calibri"/>
          <w:sz w:val="24"/>
          <w:szCs w:val="24"/>
        </w:rPr>
        <w:t>Formannskapet kan vedta endringer i rutinebeskrivelsen ved behov.</w:t>
      </w:r>
    </w:p>
    <w:p w14:paraId="29CC1A7F" w14:textId="77777777" w:rsidR="001103E9" w:rsidRDefault="001103E9" w:rsidP="001103E9">
      <w:pPr>
        <w:jc w:val="center"/>
        <w:rPr>
          <w:sz w:val="24"/>
          <w:szCs w:val="24"/>
        </w:rPr>
      </w:pPr>
      <w:r>
        <w:rPr>
          <w:sz w:val="24"/>
          <w:szCs w:val="24"/>
        </w:rPr>
        <w:t>*****</w:t>
      </w:r>
    </w:p>
    <w:sdt>
      <w:sdtPr>
        <w:id w:val="402879326"/>
        <w:docPartObj>
          <w:docPartGallery w:val="Cover Pages"/>
        </w:docPartObj>
      </w:sdtPr>
      <w:sdtContent>
        <w:p w14:paraId="43C095F9" w14:textId="77777777" w:rsidR="00581B8C" w:rsidRDefault="00BC2CBE">
          <w:r>
            <w:rPr>
              <w:noProof/>
              <w:lang w:eastAsia="nb-NO"/>
            </w:rPr>
            <w:drawing>
              <wp:anchor distT="0" distB="0" distL="114300" distR="114300" simplePos="0" relativeHeight="251662336" behindDoc="1" locked="0" layoutInCell="1" allowOverlap="1" wp14:anchorId="442B7FAD" wp14:editId="53CDF094">
                <wp:simplePos x="0" y="0"/>
                <wp:positionH relativeFrom="page">
                  <wp:align>left</wp:align>
                </wp:positionH>
                <wp:positionV relativeFrom="page">
                  <wp:posOffset>9525</wp:posOffset>
                </wp:positionV>
                <wp:extent cx="7577999" cy="10719201"/>
                <wp:effectExtent l="0" t="0" r="4445" b="635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K_dok_01_baksid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77999" cy="10719201"/>
                        </a:xfrm>
                        <a:prstGeom prst="rect">
                          <a:avLst/>
                        </a:prstGeom>
                      </pic:spPr>
                    </pic:pic>
                  </a:graphicData>
                </a:graphic>
                <wp14:sizeRelH relativeFrom="margin">
                  <wp14:pctWidth>0</wp14:pctWidth>
                </wp14:sizeRelH>
                <wp14:sizeRelV relativeFrom="margin">
                  <wp14:pctHeight>0</wp14:pctHeight>
                </wp14:sizeRelV>
              </wp:anchor>
            </w:drawing>
          </w:r>
          <w:r w:rsidR="00D53573">
            <w:rPr>
              <w:noProof/>
              <w:lang w:eastAsia="nb-NO"/>
            </w:rPr>
            <mc:AlternateContent>
              <mc:Choice Requires="wps">
                <w:drawing>
                  <wp:anchor distT="0" distB="0" distL="114300" distR="114300" simplePos="0" relativeHeight="251664384" behindDoc="0" locked="0" layoutInCell="1" allowOverlap="1" wp14:anchorId="1E934AB7" wp14:editId="13A60601">
                    <wp:simplePos x="0" y="0"/>
                    <wp:positionH relativeFrom="page">
                      <wp:align>center</wp:align>
                    </wp:positionH>
                    <wp:positionV relativeFrom="paragraph">
                      <wp:posOffset>8159750</wp:posOffset>
                    </wp:positionV>
                    <wp:extent cx="2753995" cy="266700"/>
                    <wp:effectExtent l="0" t="0" r="0" b="0"/>
                    <wp:wrapNone/>
                    <wp:docPr id="4" name="Tekstboks 4"/>
                    <wp:cNvGraphicFramePr/>
                    <a:graphic xmlns:a="http://schemas.openxmlformats.org/drawingml/2006/main">
                      <a:graphicData uri="http://schemas.microsoft.com/office/word/2010/wordprocessingShape">
                        <wps:wsp>
                          <wps:cNvSpPr txBox="1"/>
                          <wps:spPr>
                            <a:xfrm>
                              <a:off x="0" y="0"/>
                              <a:ext cx="275399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E24990" w14:textId="77777777" w:rsidR="00D53573" w:rsidRPr="00CF6FD5" w:rsidRDefault="00D53573" w:rsidP="00D53573">
                                <w:pPr>
                                  <w:pStyle w:val="RK-undertittel"/>
                                </w:pPr>
                                <w:r>
                                  <w:t>www.ringebu.kommune.no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934AB7" id="Tekstboks 4" o:spid="_x0000_s1027" type="#_x0000_t202" style="position:absolute;margin-left:0;margin-top:642.5pt;width:216.85pt;height:21pt;z-index:2516643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" filled="f" stroked="f" strokeweight=".5pt">
                    <v:textbox>
                      <w:txbxContent>
                        <w:p w14:paraId="69E24990" w14:textId="77777777" w:rsidR="00D53573" w:rsidRPr="00CF6FD5" w:rsidRDefault="00D53573" w:rsidP="00D53573">
                          <w:pPr>
                            <w:pStyle w:val="RK-undertittel"/>
                          </w:pPr>
                          <w:r>
                            <w:t>www.ringebu.kommune.no</w:t>
                          </w:r>
                        </w:p>
                      </w:txbxContent>
                    </v:textbox>
                    <w10:wrap anchorx="page"/>
                  </v:shape>
                </w:pict>
              </mc:Fallback>
            </mc:AlternateContent>
          </w:r>
        </w:p>
      </w:sdtContent>
    </w:sdt>
    <w:sectPr w:rsidR="00581B8C" w:rsidSect="00D64C37">
      <w:headerReference w:type="default" r:id="rId15"/>
      <w:footerReference w:type="default" r:id="rId16"/>
      <w:footerReference w:type="first" r:id="rId17"/>
      <w:pgSz w:w="11906" w:h="16838"/>
      <w:pgMar w:top="1985" w:right="851" w:bottom="851" w:left="1588" w:header="709" w:footer="454"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1252" w14:textId="77777777" w:rsidR="00306911" w:rsidRDefault="00306911" w:rsidP="009300C9">
      <w:pPr>
        <w:spacing w:after="0" w:line="240" w:lineRule="auto"/>
      </w:pPr>
      <w:r>
        <w:separator/>
      </w:r>
    </w:p>
    <w:p w14:paraId="147CC682" w14:textId="77777777" w:rsidR="00306911" w:rsidRDefault="00306911"/>
  </w:endnote>
  <w:endnote w:type="continuationSeparator" w:id="0">
    <w:p w14:paraId="2B5910FC" w14:textId="77777777" w:rsidR="00306911" w:rsidRDefault="00306911" w:rsidP="009300C9">
      <w:pPr>
        <w:spacing w:after="0" w:line="240" w:lineRule="auto"/>
      </w:pPr>
      <w:r>
        <w:continuationSeparator/>
      </w:r>
    </w:p>
    <w:p w14:paraId="12ED6B11" w14:textId="77777777" w:rsidR="00306911" w:rsidRDefault="00306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011762"/>
      <w:docPartObj>
        <w:docPartGallery w:val="Page Numbers (Bottom of Page)"/>
        <w:docPartUnique/>
      </w:docPartObj>
    </w:sdtPr>
    <w:sdtContent>
      <w:sdt>
        <w:sdtPr>
          <w:id w:val="-766537214"/>
          <w:docPartObj>
            <w:docPartGallery w:val="Page Numbers (Top of Page)"/>
            <w:docPartUnique/>
          </w:docPartObj>
        </w:sdtPr>
        <w:sdtContent>
          <w:p w14:paraId="0C860F36" w14:textId="77777777" w:rsidR="0073540E" w:rsidRDefault="0073540E">
            <w:pPr>
              <w:pStyle w:val="Bunntekst"/>
              <w:jc w:val="right"/>
            </w:pPr>
            <w:r>
              <w:rPr>
                <w:noProof/>
                <w:lang w:eastAsia="nb-NO"/>
              </w:rPr>
              <w:drawing>
                <wp:anchor distT="0" distB="0" distL="114300" distR="114300" simplePos="0" relativeHeight="251662336" behindDoc="0" locked="0" layoutInCell="1" allowOverlap="1" wp14:anchorId="51682271" wp14:editId="22FE1ABA">
                  <wp:simplePos x="0" y="0"/>
                  <wp:positionH relativeFrom="page">
                    <wp:align>right</wp:align>
                  </wp:positionH>
                  <wp:positionV relativeFrom="page">
                    <wp:posOffset>9980295</wp:posOffset>
                  </wp:positionV>
                  <wp:extent cx="7632000" cy="108000"/>
                  <wp:effectExtent l="0" t="0" r="0" b="6350"/>
                  <wp:wrapTopAndBottom/>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K_dok_bakgrunn bun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0" cy="108000"/>
                          </a:xfrm>
                          <a:prstGeom prst="rect">
                            <a:avLst/>
                          </a:prstGeom>
                        </pic:spPr>
                      </pic:pic>
                    </a:graphicData>
                  </a:graphic>
                  <wp14:sizeRelH relativeFrom="margin">
                    <wp14:pctWidth>0</wp14:pctWidth>
                  </wp14:sizeRelH>
                  <wp14:sizeRelV relativeFrom="margin">
                    <wp14:pctHeight>0</wp14:pctHeight>
                  </wp14:sizeRelV>
                </wp:anchor>
              </w:drawing>
            </w:r>
          </w:p>
          <w:p w14:paraId="0E025579" w14:textId="77777777" w:rsidR="00DF4D85" w:rsidRDefault="00DF4D85">
            <w:pPr>
              <w:pStyle w:val="Bunntekst"/>
              <w:jc w:val="right"/>
            </w:pPr>
            <w:r w:rsidRPr="00DF4D85">
              <w:rPr>
                <w:rFonts w:asciiTheme="minorHAnsi" w:hAnsiTheme="minorHAnsi"/>
                <w:sz w:val="18"/>
                <w:szCs w:val="18"/>
              </w:rPr>
              <w:t xml:space="preserve">Side </w:t>
            </w:r>
            <w:r w:rsidRPr="00DF4D85">
              <w:rPr>
                <w:rFonts w:asciiTheme="minorHAnsi" w:hAnsiTheme="minorHAnsi"/>
                <w:b/>
                <w:bCs/>
                <w:sz w:val="18"/>
                <w:szCs w:val="18"/>
              </w:rPr>
              <w:fldChar w:fldCharType="begin"/>
            </w:r>
            <w:r w:rsidRPr="00DF4D85">
              <w:rPr>
                <w:rFonts w:asciiTheme="minorHAnsi" w:hAnsiTheme="minorHAnsi"/>
                <w:b/>
                <w:bCs/>
                <w:sz w:val="18"/>
                <w:szCs w:val="18"/>
              </w:rPr>
              <w:instrText>PAGE</w:instrText>
            </w:r>
            <w:r w:rsidRPr="00DF4D85">
              <w:rPr>
                <w:rFonts w:asciiTheme="minorHAnsi" w:hAnsiTheme="minorHAnsi"/>
                <w:b/>
                <w:bCs/>
                <w:sz w:val="18"/>
                <w:szCs w:val="18"/>
              </w:rPr>
              <w:fldChar w:fldCharType="separate"/>
            </w:r>
            <w:r w:rsidR="005704A2">
              <w:rPr>
                <w:rFonts w:asciiTheme="minorHAnsi" w:hAnsiTheme="minorHAnsi"/>
                <w:b/>
                <w:bCs/>
                <w:noProof/>
                <w:sz w:val="18"/>
                <w:szCs w:val="18"/>
              </w:rPr>
              <w:t>2</w:t>
            </w:r>
            <w:r w:rsidRPr="00DF4D85">
              <w:rPr>
                <w:rFonts w:asciiTheme="minorHAnsi" w:hAnsiTheme="minorHAnsi"/>
                <w:b/>
                <w:bCs/>
                <w:sz w:val="18"/>
                <w:szCs w:val="18"/>
              </w:rPr>
              <w:fldChar w:fldCharType="end"/>
            </w:r>
            <w:r w:rsidRPr="00DF4D85">
              <w:rPr>
                <w:rFonts w:asciiTheme="minorHAnsi" w:hAnsiTheme="minorHAnsi"/>
                <w:sz w:val="18"/>
                <w:szCs w:val="18"/>
              </w:rPr>
              <w:t xml:space="preserve"> av </w:t>
            </w:r>
            <w:r w:rsidRPr="00DF4D85">
              <w:rPr>
                <w:rFonts w:asciiTheme="minorHAnsi" w:hAnsiTheme="minorHAnsi"/>
                <w:b/>
                <w:bCs/>
                <w:sz w:val="18"/>
                <w:szCs w:val="18"/>
              </w:rPr>
              <w:fldChar w:fldCharType="begin"/>
            </w:r>
            <w:r w:rsidRPr="00DF4D85">
              <w:rPr>
                <w:rFonts w:asciiTheme="minorHAnsi" w:hAnsiTheme="minorHAnsi"/>
                <w:b/>
                <w:bCs/>
                <w:sz w:val="18"/>
                <w:szCs w:val="18"/>
              </w:rPr>
              <w:instrText>NUMPAGES</w:instrText>
            </w:r>
            <w:r w:rsidRPr="00DF4D85">
              <w:rPr>
                <w:rFonts w:asciiTheme="minorHAnsi" w:hAnsiTheme="minorHAnsi"/>
                <w:b/>
                <w:bCs/>
                <w:sz w:val="18"/>
                <w:szCs w:val="18"/>
              </w:rPr>
              <w:fldChar w:fldCharType="separate"/>
            </w:r>
            <w:r w:rsidR="005704A2">
              <w:rPr>
                <w:rFonts w:asciiTheme="minorHAnsi" w:hAnsiTheme="minorHAnsi"/>
                <w:b/>
                <w:bCs/>
                <w:noProof/>
                <w:sz w:val="18"/>
                <w:szCs w:val="18"/>
              </w:rPr>
              <w:t>4</w:t>
            </w:r>
            <w:r w:rsidRPr="00DF4D85">
              <w:rPr>
                <w:rFonts w:asciiTheme="minorHAnsi" w:hAnsiTheme="minorHAnsi"/>
                <w:b/>
                <w:bCs/>
                <w:sz w:val="18"/>
                <w:szCs w:val="18"/>
              </w:rPr>
              <w:fldChar w:fldCharType="end"/>
            </w:r>
          </w:p>
        </w:sdtContent>
      </w:sdt>
    </w:sdtContent>
  </w:sdt>
  <w:p w14:paraId="0A95C80B" w14:textId="77777777" w:rsidR="00DF4D85" w:rsidRDefault="00DF4D85" w:rsidP="00DF4D85">
    <w:pPr>
      <w:pStyle w:val="Bunn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155" w14:textId="77777777" w:rsidR="00DF4D85" w:rsidRDefault="00DF4D85">
    <w:pPr>
      <w:pStyle w:val="Bunntekst"/>
    </w:pPr>
    <w:r>
      <w:rPr>
        <w:noProof/>
        <w:lang w:eastAsia="nb-NO"/>
      </w:rPr>
      <w:drawing>
        <wp:anchor distT="0" distB="0" distL="114300" distR="114300" simplePos="0" relativeHeight="251660288" behindDoc="0" locked="0" layoutInCell="1" allowOverlap="1" wp14:anchorId="0954049A" wp14:editId="77412FCE">
          <wp:simplePos x="0" y="0"/>
          <wp:positionH relativeFrom="page">
            <wp:posOffset>7638415</wp:posOffset>
          </wp:positionH>
          <wp:positionV relativeFrom="page">
            <wp:posOffset>9902190</wp:posOffset>
          </wp:positionV>
          <wp:extent cx="7624445" cy="107315"/>
          <wp:effectExtent l="0" t="0" r="0" b="6985"/>
          <wp:wrapTopAndBottom/>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K_dok_bakgrunn bunn.jpg"/>
                  <pic:cNvPicPr/>
                </pic:nvPicPr>
                <pic:blipFill>
                  <a:blip r:embed="rId1">
                    <a:extLst>
                      <a:ext uri="{28A0092B-C50C-407E-A947-70E740481C1C}">
                        <a14:useLocalDpi xmlns:a14="http://schemas.microsoft.com/office/drawing/2010/main" val="0"/>
                      </a:ext>
                    </a:extLst>
                  </a:blip>
                  <a:stretch>
                    <a:fillRect/>
                  </a:stretch>
                </pic:blipFill>
                <pic:spPr>
                  <a:xfrm>
                    <a:off x="0" y="0"/>
                    <a:ext cx="7624445" cy="1073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41D6" w14:textId="77777777" w:rsidR="00306911" w:rsidRDefault="00306911" w:rsidP="009300C9">
      <w:pPr>
        <w:spacing w:after="0" w:line="240" w:lineRule="auto"/>
      </w:pPr>
      <w:r>
        <w:separator/>
      </w:r>
    </w:p>
    <w:p w14:paraId="2D919BFD" w14:textId="77777777" w:rsidR="00306911" w:rsidRDefault="00306911"/>
  </w:footnote>
  <w:footnote w:type="continuationSeparator" w:id="0">
    <w:p w14:paraId="705CAC48" w14:textId="77777777" w:rsidR="00306911" w:rsidRDefault="00306911" w:rsidP="009300C9">
      <w:pPr>
        <w:spacing w:after="0" w:line="240" w:lineRule="auto"/>
      </w:pPr>
      <w:r>
        <w:continuationSeparator/>
      </w:r>
    </w:p>
    <w:p w14:paraId="2E4A46CF" w14:textId="77777777" w:rsidR="00306911" w:rsidRDefault="00306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04DD" w14:textId="77777777" w:rsidR="0073540E" w:rsidRDefault="0073540E">
    <w:pPr>
      <w:pStyle w:val="Topptekst"/>
    </w:pPr>
    <w:r>
      <w:rPr>
        <w:noProof/>
        <w:lang w:eastAsia="nb-NO"/>
      </w:rPr>
      <w:drawing>
        <wp:anchor distT="0" distB="0" distL="114300" distR="114300" simplePos="0" relativeHeight="251661312" behindDoc="0" locked="0" layoutInCell="1" allowOverlap="1" wp14:anchorId="4040C8C8" wp14:editId="10636D63">
          <wp:simplePos x="0" y="0"/>
          <wp:positionH relativeFrom="page">
            <wp:posOffset>-67217</wp:posOffset>
          </wp:positionH>
          <wp:positionV relativeFrom="page">
            <wp:posOffset>178141</wp:posOffset>
          </wp:positionV>
          <wp:extent cx="7610400" cy="723600"/>
          <wp:effectExtent l="0" t="0" r="0" b="635"/>
          <wp:wrapTopAndBottom/>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K_dok_bakgrunn top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01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C6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B6D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26F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D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D42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402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81B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1A2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8090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572B02"/>
    <w:multiLevelType w:val="hybridMultilevel"/>
    <w:tmpl w:val="47D8A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36A5402"/>
    <w:multiLevelType w:val="hybridMultilevel"/>
    <w:tmpl w:val="521A242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0AC69DF"/>
    <w:multiLevelType w:val="hybridMultilevel"/>
    <w:tmpl w:val="6E366F1A"/>
    <w:lvl w:ilvl="0" w:tplc="000653D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6EC24F77"/>
    <w:multiLevelType w:val="hybridMultilevel"/>
    <w:tmpl w:val="0C1CCE9A"/>
    <w:lvl w:ilvl="0" w:tplc="75244C50">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7B2C0A50"/>
    <w:multiLevelType w:val="hybridMultilevel"/>
    <w:tmpl w:val="455EB95A"/>
    <w:lvl w:ilvl="0" w:tplc="041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3177530">
    <w:abstractNumId w:val="8"/>
  </w:num>
  <w:num w:numId="2" w16cid:durableId="1457406034">
    <w:abstractNumId w:val="3"/>
  </w:num>
  <w:num w:numId="3" w16cid:durableId="263879977">
    <w:abstractNumId w:val="2"/>
  </w:num>
  <w:num w:numId="4" w16cid:durableId="1816137427">
    <w:abstractNumId w:val="1"/>
  </w:num>
  <w:num w:numId="5" w16cid:durableId="1249315170">
    <w:abstractNumId w:val="0"/>
  </w:num>
  <w:num w:numId="6" w16cid:durableId="1776553776">
    <w:abstractNumId w:val="9"/>
  </w:num>
  <w:num w:numId="7" w16cid:durableId="259873401">
    <w:abstractNumId w:val="7"/>
  </w:num>
  <w:num w:numId="8" w16cid:durableId="229116285">
    <w:abstractNumId w:val="6"/>
  </w:num>
  <w:num w:numId="9" w16cid:durableId="825588420">
    <w:abstractNumId w:val="5"/>
  </w:num>
  <w:num w:numId="10" w16cid:durableId="560554063">
    <w:abstractNumId w:val="4"/>
  </w:num>
  <w:num w:numId="11" w16cid:durableId="27679436">
    <w:abstractNumId w:val="10"/>
  </w:num>
  <w:num w:numId="12" w16cid:durableId="1477991611">
    <w:abstractNumId w:val="14"/>
  </w:num>
  <w:num w:numId="13" w16cid:durableId="1714651070">
    <w:abstractNumId w:val="12"/>
  </w:num>
  <w:num w:numId="14" w16cid:durableId="682167601">
    <w:abstractNumId w:val="11"/>
  </w:num>
  <w:num w:numId="15" w16cid:durableId="2138991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3C"/>
    <w:rsid w:val="00000A3E"/>
    <w:rsid w:val="00036BC3"/>
    <w:rsid w:val="000604AC"/>
    <w:rsid w:val="00074771"/>
    <w:rsid w:val="000968E3"/>
    <w:rsid w:val="000A4E52"/>
    <w:rsid w:val="000C7FCB"/>
    <w:rsid w:val="000F23AA"/>
    <w:rsid w:val="001103E9"/>
    <w:rsid w:val="00124D2F"/>
    <w:rsid w:val="00137665"/>
    <w:rsid w:val="0014651B"/>
    <w:rsid w:val="00167385"/>
    <w:rsid w:val="00170925"/>
    <w:rsid w:val="001C24E7"/>
    <w:rsid w:val="001D1067"/>
    <w:rsid w:val="001E1092"/>
    <w:rsid w:val="001F730D"/>
    <w:rsid w:val="00206547"/>
    <w:rsid w:val="00257013"/>
    <w:rsid w:val="00267A2B"/>
    <w:rsid w:val="00280D5B"/>
    <w:rsid w:val="002958A1"/>
    <w:rsid w:val="002B3AD2"/>
    <w:rsid w:val="002C0033"/>
    <w:rsid w:val="002C679A"/>
    <w:rsid w:val="002F62E2"/>
    <w:rsid w:val="00305FB2"/>
    <w:rsid w:val="00306911"/>
    <w:rsid w:val="00353889"/>
    <w:rsid w:val="0035437C"/>
    <w:rsid w:val="00354849"/>
    <w:rsid w:val="003A7DA6"/>
    <w:rsid w:val="003B3B83"/>
    <w:rsid w:val="003F107D"/>
    <w:rsid w:val="0040583F"/>
    <w:rsid w:val="00481E01"/>
    <w:rsid w:val="004A3989"/>
    <w:rsid w:val="004B6AB9"/>
    <w:rsid w:val="004D1E49"/>
    <w:rsid w:val="004E08A1"/>
    <w:rsid w:val="004E66FC"/>
    <w:rsid w:val="00500B57"/>
    <w:rsid w:val="00513B7F"/>
    <w:rsid w:val="00523CD3"/>
    <w:rsid w:val="00526C98"/>
    <w:rsid w:val="0054224F"/>
    <w:rsid w:val="0054672A"/>
    <w:rsid w:val="00566859"/>
    <w:rsid w:val="005704A2"/>
    <w:rsid w:val="00581B8C"/>
    <w:rsid w:val="00585B1F"/>
    <w:rsid w:val="0059756A"/>
    <w:rsid w:val="005B5942"/>
    <w:rsid w:val="005C6F9D"/>
    <w:rsid w:val="006130A6"/>
    <w:rsid w:val="00637B5B"/>
    <w:rsid w:val="0065697E"/>
    <w:rsid w:val="00662515"/>
    <w:rsid w:val="00674D40"/>
    <w:rsid w:val="00685830"/>
    <w:rsid w:val="0068785B"/>
    <w:rsid w:val="006A0146"/>
    <w:rsid w:val="006A0CB0"/>
    <w:rsid w:val="006D22FA"/>
    <w:rsid w:val="006D2C20"/>
    <w:rsid w:val="006D444A"/>
    <w:rsid w:val="006D5DAA"/>
    <w:rsid w:val="006E78EB"/>
    <w:rsid w:val="0073540E"/>
    <w:rsid w:val="00772D04"/>
    <w:rsid w:val="00781AF3"/>
    <w:rsid w:val="007A7A40"/>
    <w:rsid w:val="007B2226"/>
    <w:rsid w:val="007B539C"/>
    <w:rsid w:val="007C129F"/>
    <w:rsid w:val="00814EF8"/>
    <w:rsid w:val="00823F6B"/>
    <w:rsid w:val="00830608"/>
    <w:rsid w:val="00831F40"/>
    <w:rsid w:val="00860D1F"/>
    <w:rsid w:val="00870890"/>
    <w:rsid w:val="00872AE1"/>
    <w:rsid w:val="00884BEB"/>
    <w:rsid w:val="00886A7D"/>
    <w:rsid w:val="008900D1"/>
    <w:rsid w:val="008B77F6"/>
    <w:rsid w:val="008E4244"/>
    <w:rsid w:val="00910119"/>
    <w:rsid w:val="00912B4B"/>
    <w:rsid w:val="00917D83"/>
    <w:rsid w:val="009300C9"/>
    <w:rsid w:val="00945CE1"/>
    <w:rsid w:val="00946031"/>
    <w:rsid w:val="00963B8A"/>
    <w:rsid w:val="00972901"/>
    <w:rsid w:val="00990385"/>
    <w:rsid w:val="00992982"/>
    <w:rsid w:val="009B19E9"/>
    <w:rsid w:val="009C23E9"/>
    <w:rsid w:val="009E65D4"/>
    <w:rsid w:val="00A01C3C"/>
    <w:rsid w:val="00A159BD"/>
    <w:rsid w:val="00A2617E"/>
    <w:rsid w:val="00A36A2C"/>
    <w:rsid w:val="00A65A69"/>
    <w:rsid w:val="00A677A1"/>
    <w:rsid w:val="00A82F63"/>
    <w:rsid w:val="00A927D2"/>
    <w:rsid w:val="00A929AB"/>
    <w:rsid w:val="00AA77C7"/>
    <w:rsid w:val="00AB1BCD"/>
    <w:rsid w:val="00AB7DB3"/>
    <w:rsid w:val="00AC1F63"/>
    <w:rsid w:val="00AD3B6D"/>
    <w:rsid w:val="00AE42F1"/>
    <w:rsid w:val="00B068A2"/>
    <w:rsid w:val="00B14D94"/>
    <w:rsid w:val="00B16B8F"/>
    <w:rsid w:val="00B428D0"/>
    <w:rsid w:val="00B54703"/>
    <w:rsid w:val="00B903B4"/>
    <w:rsid w:val="00BB07D7"/>
    <w:rsid w:val="00BC2CBE"/>
    <w:rsid w:val="00BD460B"/>
    <w:rsid w:val="00BD465C"/>
    <w:rsid w:val="00C1145B"/>
    <w:rsid w:val="00C22AA2"/>
    <w:rsid w:val="00C410EF"/>
    <w:rsid w:val="00C90290"/>
    <w:rsid w:val="00CC5154"/>
    <w:rsid w:val="00CE2DE3"/>
    <w:rsid w:val="00CE653D"/>
    <w:rsid w:val="00CF19A2"/>
    <w:rsid w:val="00CF6FD5"/>
    <w:rsid w:val="00D03BA5"/>
    <w:rsid w:val="00D23A9D"/>
    <w:rsid w:val="00D457EB"/>
    <w:rsid w:val="00D47742"/>
    <w:rsid w:val="00D53573"/>
    <w:rsid w:val="00D64C37"/>
    <w:rsid w:val="00D66BEF"/>
    <w:rsid w:val="00D77DA9"/>
    <w:rsid w:val="00D80912"/>
    <w:rsid w:val="00DB2BA3"/>
    <w:rsid w:val="00DE543B"/>
    <w:rsid w:val="00DE7A4D"/>
    <w:rsid w:val="00DF049B"/>
    <w:rsid w:val="00DF4D85"/>
    <w:rsid w:val="00DF63B8"/>
    <w:rsid w:val="00E057B8"/>
    <w:rsid w:val="00E22261"/>
    <w:rsid w:val="00E22C73"/>
    <w:rsid w:val="00E30420"/>
    <w:rsid w:val="00E31040"/>
    <w:rsid w:val="00E47D0A"/>
    <w:rsid w:val="00E540DA"/>
    <w:rsid w:val="00E576D3"/>
    <w:rsid w:val="00E66902"/>
    <w:rsid w:val="00E75B0D"/>
    <w:rsid w:val="00E968B7"/>
    <w:rsid w:val="00EA294E"/>
    <w:rsid w:val="00EB38A9"/>
    <w:rsid w:val="00ED0B4C"/>
    <w:rsid w:val="00F04EB3"/>
    <w:rsid w:val="00F07357"/>
    <w:rsid w:val="00F32FD3"/>
    <w:rsid w:val="00F92C01"/>
    <w:rsid w:val="00FA1076"/>
    <w:rsid w:val="00FB3DEE"/>
    <w:rsid w:val="00FD2184"/>
    <w:rsid w:val="00FE3A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E0D6"/>
  <w15:chartTrackingRefBased/>
  <w15:docId w15:val="{2388E485-AEA7-4894-AB53-53F80E11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nb-NO" w:eastAsia="en-US" w:bidi="ar-SA"/>
      </w:rPr>
    </w:rPrDefault>
    <w:pPrDefault>
      <w:pPr>
        <w:spacing w:after="360" w:line="280" w:lineRule="exact"/>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1145B"/>
  </w:style>
  <w:style w:type="paragraph" w:styleId="Overskrift1">
    <w:name w:val="heading 1"/>
    <w:basedOn w:val="Normal"/>
    <w:next w:val="Normal"/>
    <w:link w:val="Overskrift1Tegn"/>
    <w:uiPriority w:val="9"/>
    <w:semiHidden/>
    <w:rsid w:val="00EB38A9"/>
    <w:pPr>
      <w:outlineLvl w:val="0"/>
    </w:pPr>
    <w:rPr>
      <w:b/>
      <w:sz w:val="28"/>
    </w:rPr>
  </w:style>
  <w:style w:type="paragraph" w:styleId="Overskrift2">
    <w:name w:val="heading 2"/>
    <w:basedOn w:val="Overskrift1"/>
    <w:next w:val="Normal"/>
    <w:link w:val="Overskrift2Tegn"/>
    <w:uiPriority w:val="9"/>
    <w:semiHidden/>
    <w:rsid w:val="00EB38A9"/>
    <w:pPr>
      <w:outlineLvl w:val="1"/>
    </w:pPr>
    <w:rPr>
      <w:sz w:val="22"/>
    </w:rPr>
  </w:style>
  <w:style w:type="paragraph" w:styleId="Overskrift3">
    <w:name w:val="heading 3"/>
    <w:basedOn w:val="Normal"/>
    <w:next w:val="Normal"/>
    <w:link w:val="Overskrift3Tegn"/>
    <w:uiPriority w:val="9"/>
    <w:semiHidden/>
    <w:rsid w:val="00872AE1"/>
    <w:pPr>
      <w:autoSpaceDE w:val="0"/>
      <w:autoSpaceDN w:val="0"/>
      <w:adjustRightInd w:val="0"/>
      <w:spacing w:after="0" w:line="288" w:lineRule="auto"/>
      <w:textAlignment w:val="center"/>
      <w:outlineLvl w:val="2"/>
    </w:pPr>
    <w:rPr>
      <w:rFonts w:ascii="Calibri" w:hAnsi="Calibri" w:cs="Calibri"/>
      <w:b/>
      <w:bCs/>
      <w:color w:val="000000"/>
      <w:sz w:val="28"/>
      <w:szCs w:val="28"/>
    </w:rPr>
  </w:style>
  <w:style w:type="paragraph" w:styleId="Overskrift4">
    <w:name w:val="heading 4"/>
    <w:aliases w:val="RK-Kursiv"/>
    <w:basedOn w:val="Normal"/>
    <w:next w:val="Normal"/>
    <w:link w:val="Overskrift4Tegn"/>
    <w:uiPriority w:val="9"/>
    <w:semiHidden/>
    <w:qFormat/>
    <w:rsid w:val="004A3989"/>
    <w:pPr>
      <w:keepNext/>
      <w:keepLines/>
      <w:spacing w:before="40" w:after="0"/>
      <w:outlineLvl w:val="3"/>
    </w:pPr>
    <w:rPr>
      <w:rFonts w:eastAsiaTheme="majorEastAsia" w:cstheme="majorBidi"/>
      <w:i/>
      <w:iCs/>
    </w:rPr>
  </w:style>
  <w:style w:type="paragraph" w:styleId="Overskrift5">
    <w:name w:val="heading 5"/>
    <w:basedOn w:val="Normal"/>
    <w:next w:val="Normal"/>
    <w:link w:val="Overskrift5Tegn"/>
    <w:uiPriority w:val="9"/>
    <w:semiHidden/>
    <w:rsid w:val="00F04EB3"/>
    <w:pPr>
      <w:keepNext/>
      <w:keepLines/>
      <w:spacing w:before="40" w:after="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qFormat/>
    <w:rsid w:val="00F04EB3"/>
    <w:pPr>
      <w:keepNext/>
      <w:keepLines/>
      <w:spacing w:before="40" w:after="0"/>
      <w:outlineLvl w:val="5"/>
    </w:pPr>
    <w:rPr>
      <w:rFonts w:eastAsiaTheme="majorEastAsia" w:cstheme="majorBidi"/>
      <w:color w:val="1F4D78" w:themeColor="accent1" w:themeShade="7F"/>
    </w:rPr>
  </w:style>
  <w:style w:type="paragraph" w:styleId="Overskrift7">
    <w:name w:val="heading 7"/>
    <w:basedOn w:val="Normal"/>
    <w:next w:val="Normal"/>
    <w:link w:val="Overskrift7Tegn"/>
    <w:uiPriority w:val="9"/>
    <w:semiHidden/>
    <w:qFormat/>
    <w:rsid w:val="00F04EB3"/>
    <w:pPr>
      <w:keepNext/>
      <w:keepLines/>
      <w:spacing w:before="40" w:after="0"/>
      <w:outlineLvl w:val="6"/>
    </w:pPr>
    <w:rPr>
      <w:rFonts w:eastAsiaTheme="majorEastAsia" w:cstheme="majorBidi"/>
      <w:i/>
      <w:iCs/>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5Tegn">
    <w:name w:val="Overskrift 5 Tegn"/>
    <w:basedOn w:val="Standardskriftforavsnitt"/>
    <w:link w:val="Overskrift5"/>
    <w:uiPriority w:val="9"/>
    <w:semiHidden/>
    <w:rsid w:val="00F04EB3"/>
    <w:rPr>
      <w:rFonts w:asciiTheme="majorHAnsi" w:eastAsiaTheme="majorEastAsia" w:hAnsiTheme="majorHAnsi" w:cstheme="majorBidi"/>
      <w:color w:val="2E74B5" w:themeColor="accent1" w:themeShade="BF"/>
    </w:rPr>
  </w:style>
  <w:style w:type="paragraph" w:styleId="Topptekst">
    <w:name w:val="header"/>
    <w:basedOn w:val="Normal"/>
    <w:link w:val="TopptekstTegn"/>
    <w:uiPriority w:val="99"/>
    <w:semiHidden/>
    <w:rsid w:val="00DB2B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04EB3"/>
  </w:style>
  <w:style w:type="paragraph" w:styleId="Bunntekst">
    <w:name w:val="footer"/>
    <w:basedOn w:val="Normal"/>
    <w:link w:val="BunntekstTegn"/>
    <w:uiPriority w:val="99"/>
    <w:rsid w:val="00DB2BA3"/>
    <w:pPr>
      <w:tabs>
        <w:tab w:val="center" w:pos="4536"/>
        <w:tab w:val="right" w:pos="9072"/>
      </w:tabs>
      <w:spacing w:after="0" w:line="240" w:lineRule="auto"/>
    </w:pPr>
  </w:style>
  <w:style w:type="character" w:customStyle="1" w:styleId="Overskrift3Tegn">
    <w:name w:val="Overskrift 3 Tegn"/>
    <w:basedOn w:val="Standardskriftforavsnitt"/>
    <w:link w:val="Overskrift3"/>
    <w:uiPriority w:val="9"/>
    <w:semiHidden/>
    <w:rsid w:val="00F04EB3"/>
    <w:rPr>
      <w:rFonts w:ascii="Calibri" w:hAnsi="Calibri" w:cs="Calibri"/>
      <w:b/>
      <w:bCs/>
      <w:color w:val="000000"/>
      <w:sz w:val="28"/>
      <w:szCs w:val="28"/>
    </w:rPr>
  </w:style>
  <w:style w:type="character" w:customStyle="1" w:styleId="BunntekstTegn">
    <w:name w:val="Bunntekst Tegn"/>
    <w:basedOn w:val="Standardskriftforavsnitt"/>
    <w:link w:val="Bunntekst"/>
    <w:uiPriority w:val="99"/>
    <w:rsid w:val="00F04EB3"/>
  </w:style>
  <w:style w:type="paragraph" w:styleId="Bobletekst">
    <w:name w:val="Balloon Text"/>
    <w:basedOn w:val="Normal"/>
    <w:link w:val="BobletekstTegn"/>
    <w:uiPriority w:val="99"/>
    <w:semiHidden/>
    <w:rsid w:val="00917D8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04EB3"/>
    <w:rPr>
      <w:rFonts w:ascii="Segoe UI" w:hAnsi="Segoe UI" w:cs="Segoe UI"/>
      <w:sz w:val="18"/>
      <w:szCs w:val="18"/>
    </w:rPr>
  </w:style>
  <w:style w:type="paragraph" w:customStyle="1" w:styleId="RK-overskrift1">
    <w:name w:val="RK-overskrift 1"/>
    <w:next w:val="Normal"/>
    <w:qFormat/>
    <w:rsid w:val="00F07357"/>
    <w:pPr>
      <w:spacing w:after="240" w:line="240" w:lineRule="auto"/>
    </w:pPr>
    <w:rPr>
      <w:rFonts w:asciiTheme="minorHAnsi" w:hAnsiTheme="minorHAnsi"/>
      <w:b/>
      <w:sz w:val="36"/>
    </w:rPr>
  </w:style>
  <w:style w:type="paragraph" w:customStyle="1" w:styleId="RK-overskrift2">
    <w:name w:val="RK-overskrift 2"/>
    <w:qFormat/>
    <w:rsid w:val="00F07357"/>
    <w:pPr>
      <w:spacing w:after="120" w:line="240" w:lineRule="auto"/>
    </w:pPr>
    <w:rPr>
      <w:rFonts w:asciiTheme="minorHAnsi" w:hAnsiTheme="minorHAnsi"/>
      <w:b/>
      <w:sz w:val="32"/>
    </w:rPr>
  </w:style>
  <w:style w:type="paragraph" w:customStyle="1" w:styleId="RK-datoref">
    <w:name w:val="RK-dato/ref."/>
    <w:basedOn w:val="Normal"/>
    <w:qFormat/>
    <w:rsid w:val="00257013"/>
    <w:rPr>
      <w:rFonts w:asciiTheme="minorHAnsi" w:hAnsiTheme="minorHAnsi"/>
      <w:sz w:val="18"/>
      <w:szCs w:val="18"/>
    </w:rPr>
  </w:style>
  <w:style w:type="paragraph" w:styleId="Listeavsnitt">
    <w:name w:val="List Paragraph"/>
    <w:aliases w:val="RK-listeavsnitt"/>
    <w:basedOn w:val="Normal"/>
    <w:uiPriority w:val="34"/>
    <w:qFormat/>
    <w:rsid w:val="00772D04"/>
    <w:pPr>
      <w:ind w:left="720"/>
      <w:contextualSpacing/>
    </w:pPr>
  </w:style>
  <w:style w:type="character" w:customStyle="1" w:styleId="Overskrift1Tegn">
    <w:name w:val="Overskrift 1 Tegn"/>
    <w:basedOn w:val="Standardskriftforavsnitt"/>
    <w:link w:val="Overskrift1"/>
    <w:uiPriority w:val="9"/>
    <w:semiHidden/>
    <w:rsid w:val="00F04EB3"/>
    <w:rPr>
      <w:b/>
      <w:sz w:val="28"/>
    </w:rPr>
  </w:style>
  <w:style w:type="character" w:customStyle="1" w:styleId="Overskrift2Tegn">
    <w:name w:val="Overskrift 2 Tegn"/>
    <w:basedOn w:val="Standardskriftforavsnitt"/>
    <w:link w:val="Overskrift2"/>
    <w:uiPriority w:val="9"/>
    <w:semiHidden/>
    <w:rsid w:val="00F04EB3"/>
    <w:rPr>
      <w:b/>
    </w:rPr>
  </w:style>
  <w:style w:type="character" w:customStyle="1" w:styleId="Overskrift4Tegn">
    <w:name w:val="Overskrift 4 Tegn"/>
    <w:aliases w:val="RK-Kursiv Tegn"/>
    <w:basedOn w:val="Standardskriftforavsnitt"/>
    <w:link w:val="Overskrift4"/>
    <w:uiPriority w:val="9"/>
    <w:semiHidden/>
    <w:rsid w:val="00F04EB3"/>
    <w:rPr>
      <w:rFonts w:asciiTheme="majorHAnsi" w:eastAsiaTheme="majorEastAsia" w:hAnsiTheme="majorHAnsi" w:cstheme="majorBidi"/>
      <w:i/>
      <w:iCs/>
    </w:rPr>
  </w:style>
  <w:style w:type="paragraph" w:styleId="NormalWeb">
    <w:name w:val="Normal (Web)"/>
    <w:basedOn w:val="Normal"/>
    <w:uiPriority w:val="99"/>
    <w:semiHidden/>
    <w:rsid w:val="007A7A4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6Tegn">
    <w:name w:val="Overskrift 6 Tegn"/>
    <w:basedOn w:val="Standardskriftforavsnitt"/>
    <w:link w:val="Overskrift6"/>
    <w:uiPriority w:val="9"/>
    <w:semiHidden/>
    <w:rsid w:val="00F04EB3"/>
    <w:rPr>
      <w:rFonts w:asciiTheme="majorHAnsi" w:eastAsiaTheme="majorEastAsia" w:hAnsiTheme="majorHAnsi" w:cstheme="majorBidi"/>
      <w:color w:val="1F4D78" w:themeColor="accent1" w:themeShade="7F"/>
    </w:rPr>
  </w:style>
  <w:style w:type="paragraph" w:customStyle="1" w:styleId="RK-tittel1">
    <w:name w:val="RK-tittel 1"/>
    <w:next w:val="Normal"/>
    <w:rsid w:val="0040583F"/>
    <w:pPr>
      <w:spacing w:line="240" w:lineRule="auto"/>
      <w:jc w:val="center"/>
    </w:pPr>
    <w:rPr>
      <w:rFonts w:asciiTheme="minorHAnsi" w:hAnsiTheme="minorHAnsi"/>
      <w:b/>
      <w:sz w:val="48"/>
    </w:rPr>
  </w:style>
  <w:style w:type="paragraph" w:customStyle="1" w:styleId="RK-overskrift3">
    <w:name w:val="RK-overskrift 3"/>
    <w:next w:val="Normal"/>
    <w:qFormat/>
    <w:rsid w:val="00F07357"/>
    <w:pPr>
      <w:spacing w:after="120" w:line="240" w:lineRule="auto"/>
    </w:pPr>
    <w:rPr>
      <w:rFonts w:asciiTheme="minorHAnsi" w:hAnsiTheme="minorHAnsi"/>
      <w:b/>
      <w:sz w:val="28"/>
    </w:rPr>
  </w:style>
  <w:style w:type="paragraph" w:customStyle="1" w:styleId="RK-stikktittel">
    <w:name w:val="RK-stikktittel"/>
    <w:next w:val="Normal"/>
    <w:qFormat/>
    <w:rsid w:val="008E4244"/>
    <w:rPr>
      <w:rFonts w:asciiTheme="minorHAnsi" w:hAnsiTheme="minorHAnsi"/>
      <w:sz w:val="24"/>
    </w:rPr>
  </w:style>
  <w:style w:type="paragraph" w:customStyle="1" w:styleId="RK-ingress">
    <w:name w:val="RK-ingress"/>
    <w:next w:val="Normal"/>
    <w:qFormat/>
    <w:rsid w:val="00257013"/>
    <w:rPr>
      <w:rFonts w:asciiTheme="minorHAnsi" w:hAnsiTheme="minorHAnsi" w:cs="Calibri"/>
      <w:b/>
      <w:bCs/>
      <w:color w:val="000000"/>
      <w:szCs w:val="28"/>
    </w:rPr>
  </w:style>
  <w:style w:type="character" w:customStyle="1" w:styleId="Overskrift7Tegn">
    <w:name w:val="Overskrift 7 Tegn"/>
    <w:basedOn w:val="Standardskriftforavsnitt"/>
    <w:link w:val="Overskrift7"/>
    <w:uiPriority w:val="9"/>
    <w:semiHidden/>
    <w:rsid w:val="00F04EB3"/>
    <w:rPr>
      <w:rFonts w:asciiTheme="majorHAnsi" w:eastAsiaTheme="majorEastAsia" w:hAnsiTheme="majorHAnsi" w:cstheme="majorBidi"/>
      <w:i/>
      <w:iCs/>
      <w:color w:val="1F4D78" w:themeColor="accent1" w:themeShade="7F"/>
    </w:rPr>
  </w:style>
  <w:style w:type="paragraph" w:customStyle="1" w:styleId="RK-kursiv">
    <w:name w:val="RK-kursiv"/>
    <w:next w:val="Normal"/>
    <w:qFormat/>
    <w:rsid w:val="008E4244"/>
    <w:rPr>
      <w:rFonts w:asciiTheme="minorHAnsi" w:hAnsiTheme="minorHAnsi"/>
      <w:i/>
    </w:rPr>
  </w:style>
  <w:style w:type="paragraph" w:customStyle="1" w:styleId="RK-overskrift4">
    <w:name w:val="RK-overskrift 4"/>
    <w:next w:val="Normal"/>
    <w:qFormat/>
    <w:rsid w:val="00F07357"/>
    <w:pPr>
      <w:spacing w:after="120"/>
    </w:pPr>
    <w:rPr>
      <w:rFonts w:asciiTheme="minorHAnsi" w:hAnsiTheme="minorHAnsi"/>
      <w:b/>
      <w:sz w:val="24"/>
    </w:rPr>
  </w:style>
  <w:style w:type="paragraph" w:customStyle="1" w:styleId="RK-brdtekst">
    <w:name w:val="RK-brødtekst"/>
    <w:next w:val="Normal"/>
    <w:qFormat/>
    <w:rsid w:val="00257013"/>
    <w:rPr>
      <w:rFonts w:asciiTheme="minorHAnsi" w:hAnsiTheme="minorHAnsi"/>
    </w:rPr>
  </w:style>
  <w:style w:type="paragraph" w:styleId="Bildetekst">
    <w:name w:val="caption"/>
    <w:basedOn w:val="Normal"/>
    <w:next w:val="Normal"/>
    <w:uiPriority w:val="35"/>
    <w:semiHidden/>
    <w:qFormat/>
    <w:rsid w:val="00992982"/>
    <w:pPr>
      <w:spacing w:after="200" w:line="240" w:lineRule="auto"/>
    </w:pPr>
    <w:rPr>
      <w:i/>
      <w:iCs/>
      <w:color w:val="44546A" w:themeColor="text2"/>
      <w:sz w:val="18"/>
      <w:szCs w:val="18"/>
    </w:rPr>
  </w:style>
  <w:style w:type="paragraph" w:customStyle="1" w:styleId="RK-undertittel">
    <w:name w:val="RK-undertittel"/>
    <w:basedOn w:val="Normal"/>
    <w:rsid w:val="0040583F"/>
    <w:pPr>
      <w:jc w:val="center"/>
    </w:pPr>
    <w:rPr>
      <w:rFonts w:asciiTheme="minorHAnsi" w:hAnsiTheme="minorHAnsi"/>
      <w:b/>
      <w:sz w:val="32"/>
    </w:rPr>
  </w:style>
  <w:style w:type="paragraph" w:customStyle="1" w:styleId="RK-tittel2">
    <w:name w:val="RK-tittel 2"/>
    <w:next w:val="Normal"/>
    <w:rsid w:val="0040583F"/>
    <w:pPr>
      <w:spacing w:line="240" w:lineRule="auto"/>
      <w:jc w:val="center"/>
    </w:pPr>
    <w:rPr>
      <w:rFonts w:asciiTheme="minorHAnsi" w:hAnsiTheme="minorHAnsi"/>
      <w:b/>
      <w:sz w:val="40"/>
    </w:rPr>
  </w:style>
  <w:style w:type="paragraph" w:styleId="INNH1">
    <w:name w:val="toc 1"/>
    <w:basedOn w:val="Normal"/>
    <w:next w:val="Normal"/>
    <w:autoRedefine/>
    <w:uiPriority w:val="39"/>
    <w:rsid w:val="0068785B"/>
    <w:pPr>
      <w:spacing w:after="100"/>
    </w:pPr>
  </w:style>
  <w:style w:type="paragraph" w:styleId="INNH2">
    <w:name w:val="toc 2"/>
    <w:basedOn w:val="Normal"/>
    <w:next w:val="Normal"/>
    <w:autoRedefine/>
    <w:uiPriority w:val="39"/>
    <w:rsid w:val="0068785B"/>
    <w:pPr>
      <w:spacing w:after="100"/>
      <w:ind w:left="220"/>
    </w:pPr>
  </w:style>
  <w:style w:type="character" w:styleId="Hyperkobling">
    <w:name w:val="Hyperlink"/>
    <w:basedOn w:val="Standardskriftforavsnitt"/>
    <w:uiPriority w:val="99"/>
    <w:unhideWhenUsed/>
    <w:rsid w:val="0068785B"/>
    <w:rPr>
      <w:color w:val="0563C1" w:themeColor="hyperlink"/>
      <w:u w:val="single"/>
    </w:rPr>
  </w:style>
  <w:style w:type="paragraph" w:customStyle="1" w:styleId="mortaga">
    <w:name w:val="mortag_a"/>
    <w:basedOn w:val="Normal"/>
    <w:rsid w:val="001103E9"/>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113">
      <w:bodyDiv w:val="1"/>
      <w:marLeft w:val="0"/>
      <w:marRight w:val="0"/>
      <w:marTop w:val="0"/>
      <w:marBottom w:val="0"/>
      <w:divBdr>
        <w:top w:val="none" w:sz="0" w:space="0" w:color="auto"/>
        <w:left w:val="none" w:sz="0" w:space="0" w:color="auto"/>
        <w:bottom w:val="none" w:sz="0" w:space="0" w:color="auto"/>
        <w:right w:val="none" w:sz="0" w:space="0" w:color="auto"/>
      </w:divBdr>
    </w:div>
    <w:div w:id="12235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1967-02-10/%C2%A7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lov/1967-02-10/kapi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f\Downloads\RK_dok.mal_en%20spalte%20farge%20klode%20uten%20bilde%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655046-c76d-4994-8b8c-fa856a9dfd60">
      <Terms xmlns="http://schemas.microsoft.com/office/infopath/2007/PartnerControls"/>
    </lcf76f155ced4ddcb4097134ff3c332f>
    <TaxCatchAll xmlns="c8f45e3c-5985-40bc-b6d6-ca979404f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148B35CF106184A8244507B715A69A7" ma:contentTypeVersion="18" ma:contentTypeDescription="Opprett et nytt dokument." ma:contentTypeScope="" ma:versionID="743502feb5c76f99860a498e3193c627">
  <xsd:schema xmlns:xsd="http://www.w3.org/2001/XMLSchema" xmlns:xs="http://www.w3.org/2001/XMLSchema" xmlns:p="http://schemas.microsoft.com/office/2006/metadata/properties" xmlns:ns2="52655046-c76d-4994-8b8c-fa856a9dfd60" xmlns:ns3="c8f45e3c-5985-40bc-b6d6-ca979404f5ac" targetNamespace="http://schemas.microsoft.com/office/2006/metadata/properties" ma:root="true" ma:fieldsID="cd6c01e4052e3ba05933cef47bebc511" ns2:_="" ns3:_="">
    <xsd:import namespace="52655046-c76d-4994-8b8c-fa856a9dfd60"/>
    <xsd:import namespace="c8f45e3c-5985-40bc-b6d6-ca979404f5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55046-c76d-4994-8b8c-fa856a9d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d54d067-2740-4183-af03-6b53bf47940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45e3c-5985-40bc-b6d6-ca979404f5a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920c760-c343-48a1-919e-21d49459752e}" ma:internalName="TaxCatchAll" ma:showField="CatchAllData" ma:web="c8f45e3c-5985-40bc-b6d6-ca979404f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CCFA-0A08-4847-A941-23278EFDBEE1}">
  <ds:schemaRefs>
    <ds:schemaRef ds:uri="http://schemas.microsoft.com/sharepoint/v3/contenttype/forms"/>
  </ds:schemaRefs>
</ds:datastoreItem>
</file>

<file path=customXml/itemProps2.xml><?xml version="1.0" encoding="utf-8"?>
<ds:datastoreItem xmlns:ds="http://schemas.openxmlformats.org/officeDocument/2006/customXml" ds:itemID="{B31AB358-E400-483F-BDD0-D6AA4D849FDF}">
  <ds:schemaRefs>
    <ds:schemaRef ds:uri="http://schemas.microsoft.com/office/2006/metadata/properties"/>
    <ds:schemaRef ds:uri="http://schemas.microsoft.com/office/infopath/2007/PartnerControls"/>
    <ds:schemaRef ds:uri="52655046-c76d-4994-8b8c-fa856a9dfd60"/>
    <ds:schemaRef ds:uri="c8f45e3c-5985-40bc-b6d6-ca979404f5ac"/>
  </ds:schemaRefs>
</ds:datastoreItem>
</file>

<file path=customXml/itemProps3.xml><?xml version="1.0" encoding="utf-8"?>
<ds:datastoreItem xmlns:ds="http://schemas.openxmlformats.org/officeDocument/2006/customXml" ds:itemID="{AB1B708B-B6E5-4D77-8329-1D79CBF2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55046-c76d-4994-8b8c-fa856a9dfd60"/>
    <ds:schemaRef ds:uri="c8f45e3c-5985-40bc-b6d6-ca979404f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550E2-5FCA-4FE2-B796-1594CC75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RK_dok.mal_en spalte farge klode uten bilde (1)</Template>
  <TotalTime>7</TotalTime>
  <Pages>7</Pages>
  <Words>1899</Words>
  <Characters>10066</Characters>
  <Application>Microsoft Office Word</Application>
  <DocSecurity>0</DocSecurity>
  <Lines>83</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Ann Stennes Fretheim</dc:creator>
  <cp:keywords/>
  <dc:description/>
  <cp:lastModifiedBy>Betty Ann Stennes</cp:lastModifiedBy>
  <cp:revision>9</cp:revision>
  <cp:lastPrinted>2014-10-02T18:06:00Z</cp:lastPrinted>
  <dcterms:created xsi:type="dcterms:W3CDTF">2025-10-02T09:29:00Z</dcterms:created>
  <dcterms:modified xsi:type="dcterms:W3CDTF">2025-10-02T09:36:00Z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0x010100E148B35CF106184A8244507B715A69A7</vt:lpwstr>
  </property>
  <property fmtid="{D5CDD505-2E9C-101B-9397-08002B2CF9AE}" pid="3" name="MediaServiceImageTags">
    <vt:lpwstr/>
  </property>
</Properties>
</file>